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8A03C0" w14:textId="3B8374CB" w:rsidR="00B970F2" w:rsidRPr="00F041AD" w:rsidRDefault="0075374D" w:rsidP="00875F55">
      <w:pPr>
        <w:pStyle w:val="3SectionTitle"/>
        <w:rPr>
          <w:color w:val="333333" w:themeColor="background1"/>
        </w:rPr>
      </w:pPr>
      <w:r w:rsidRPr="00F041AD">
        <w:rPr>
          <w:noProof/>
          <w:color w:val="333333" w:themeColor="background1"/>
          <w:lang w:eastAsia="en-US"/>
        </w:rPr>
        <mc:AlternateContent>
          <mc:Choice Requires="wps">
            <w:drawing>
              <wp:anchor distT="0" distB="0" distL="114300" distR="114300" simplePos="0" relativeHeight="251672576" behindDoc="0" locked="0" layoutInCell="1" allowOverlap="1" wp14:anchorId="18AE8145" wp14:editId="3574963C">
                <wp:simplePos x="0" y="0"/>
                <wp:positionH relativeFrom="column">
                  <wp:posOffset>-405765</wp:posOffset>
                </wp:positionH>
                <wp:positionV relativeFrom="paragraph">
                  <wp:posOffset>3198495</wp:posOffset>
                </wp:positionV>
                <wp:extent cx="6972300" cy="27432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972300" cy="2743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F33624" w14:textId="77777777" w:rsidR="006506BB" w:rsidRDefault="006506BB" w:rsidP="00ED21EA">
                            <w:pPr>
                              <w:pStyle w:val="1MainTitle"/>
                            </w:pPr>
                            <w:r>
                              <w:t xml:space="preserve">Minnesota 2025 </w:t>
                            </w:r>
                          </w:p>
                          <w:p w14:paraId="3D4C406D" w14:textId="7D70D8F1" w:rsidR="006506BB" w:rsidRDefault="006506BB" w:rsidP="00ED21EA">
                            <w:pPr>
                              <w:pStyle w:val="1MainTitle"/>
                            </w:pPr>
                            <w:r>
                              <w:t>Energy Action Plan</w:t>
                            </w:r>
                          </w:p>
                          <w:p w14:paraId="7A249790" w14:textId="77777777" w:rsidR="006506BB" w:rsidRDefault="006506BB" w:rsidP="00ED21EA">
                            <w:pPr>
                              <w:pStyle w:val="5BodyText"/>
                            </w:pPr>
                          </w:p>
                          <w:p w14:paraId="1C8E644B" w14:textId="6C5EC39D" w:rsidR="006506BB" w:rsidRPr="008E0B95" w:rsidRDefault="006506BB" w:rsidP="00ED21EA">
                            <w:pPr>
                              <w:pStyle w:val="5BodyText"/>
                            </w:pPr>
                            <w:r w:rsidRPr="008E0B95">
                              <w:t>Report prepared for Minnesota Department of Commerce and the Minnesota Legislative Energy Commission</w:t>
                            </w:r>
                          </w:p>
                          <w:p w14:paraId="68D76EB0" w14:textId="0372B8A9" w:rsidR="006506BB" w:rsidRPr="008E0B95" w:rsidRDefault="006506BB" w:rsidP="00ED21EA">
                            <w:pPr>
                              <w:pStyle w:val="5BodyText"/>
                            </w:pPr>
                            <w:r>
                              <w:t>Submitted by</w:t>
                            </w:r>
                            <w:r w:rsidRPr="008E0B95">
                              <w:t xml:space="preserve"> Rocky Mountain Institute based on input from the 2025 Stakeholder Advisory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1.95pt;margin-top:251.85pt;width:549pt;height:3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" filled="f" stroked="f">
                <v:textbox>
                  <w:txbxContent>
                    <w:p w14:paraId="30F33624" w14:textId="77777777" w:rsidR="006506BB" w:rsidRDefault="006506BB" w:rsidP="00ED21EA">
                      <w:pPr>
                        <w:pStyle w:val="1MainTitle"/>
                      </w:pPr>
                      <w:r>
                        <w:t xml:space="preserve">Minnesota 2025 </w:t>
                      </w:r>
                    </w:p>
                    <w:p w14:paraId="3D4C406D" w14:textId="7D70D8F1" w:rsidR="006506BB" w:rsidRDefault="006506BB" w:rsidP="00ED21EA">
                      <w:pPr>
                        <w:pStyle w:val="1MainTitle"/>
                      </w:pPr>
                      <w:r>
                        <w:t>Energy Action Plan</w:t>
                      </w:r>
                    </w:p>
                    <w:p w14:paraId="7A249790" w14:textId="77777777" w:rsidR="006506BB" w:rsidRDefault="006506BB" w:rsidP="00ED21EA">
                      <w:pPr>
                        <w:pStyle w:val="5BodyText"/>
                      </w:pPr>
                    </w:p>
                    <w:p w14:paraId="1C8E644B" w14:textId="6C5EC39D" w:rsidR="006506BB" w:rsidRPr="008E0B95" w:rsidRDefault="006506BB" w:rsidP="00ED21EA">
                      <w:pPr>
                        <w:pStyle w:val="5BodyText"/>
                      </w:pPr>
                      <w:r w:rsidRPr="008E0B95">
                        <w:t>Report prepared for Minnesota Department of Commerce and the Minnesota Legislative Energy Commission</w:t>
                      </w:r>
                    </w:p>
                    <w:p w14:paraId="68D76EB0" w14:textId="0372B8A9" w:rsidR="006506BB" w:rsidRPr="008E0B95" w:rsidRDefault="006506BB" w:rsidP="00ED21EA">
                      <w:pPr>
                        <w:pStyle w:val="5BodyText"/>
                      </w:pPr>
                      <w:r>
                        <w:t>Submitted by</w:t>
                      </w:r>
                      <w:r w:rsidRPr="008E0B95">
                        <w:t xml:space="preserve"> Rocky Mountain Institute based on input from the 2025 Stakeholder Advisory Committee</w:t>
                      </w:r>
                    </w:p>
                  </w:txbxContent>
                </v:textbox>
                <w10:wrap type="square"/>
              </v:shape>
            </w:pict>
          </mc:Fallback>
        </mc:AlternateContent>
      </w:r>
      <w:r w:rsidR="003F711F" w:rsidRPr="00F041AD">
        <w:rPr>
          <w:color w:val="333333" w:themeColor="background1"/>
        </w:rPr>
        <w:tab/>
      </w:r>
      <w:r w:rsidRPr="00F041AD">
        <w:rPr>
          <w:color w:val="333333" w:themeColor="background1"/>
        </w:rPr>
        <w:br w:type="column"/>
      </w:r>
      <w:bookmarkStart w:id="0" w:name="_Toc322933795"/>
      <w:bookmarkStart w:id="1" w:name="_Toc322961571"/>
      <w:bookmarkStart w:id="2" w:name="_Toc322962022"/>
      <w:bookmarkStart w:id="3" w:name="_Toc322962209"/>
      <w:r w:rsidR="00B970F2" w:rsidRPr="00F041AD">
        <w:rPr>
          <w:color w:val="333333" w:themeColor="background1"/>
        </w:rPr>
        <w:lastRenderedPageBreak/>
        <w:t>Acknowledgements</w:t>
      </w:r>
      <w:bookmarkEnd w:id="0"/>
      <w:bookmarkEnd w:id="1"/>
      <w:bookmarkEnd w:id="2"/>
      <w:bookmarkEnd w:id="3"/>
    </w:p>
    <w:p w14:paraId="107CEF65" w14:textId="77777777" w:rsidR="00875F55" w:rsidRPr="00F041AD" w:rsidRDefault="00875F55" w:rsidP="007F3F44">
      <w:pPr>
        <w:pStyle w:val="6BodyHighlight"/>
        <w:rPr>
          <w:color w:val="333333" w:themeColor="background1"/>
        </w:rPr>
      </w:pPr>
    </w:p>
    <w:p w14:paraId="69BEAC8C" w14:textId="77777777" w:rsidR="00B970F2" w:rsidRPr="00F041AD" w:rsidRDefault="00B970F2" w:rsidP="007F3F44">
      <w:pPr>
        <w:pStyle w:val="6BodyHighlight"/>
        <w:rPr>
          <w:color w:val="333333" w:themeColor="background1"/>
        </w:rPr>
      </w:pPr>
      <w:bookmarkStart w:id="4" w:name="_Toc322961572"/>
      <w:r w:rsidRPr="00F041AD">
        <w:rPr>
          <w:color w:val="333333" w:themeColor="background1"/>
        </w:rPr>
        <w:t>Funding:</w:t>
      </w:r>
      <w:bookmarkEnd w:id="4"/>
    </w:p>
    <w:p w14:paraId="491BA9A7" w14:textId="199C3F7B" w:rsidR="00B970F2" w:rsidRPr="00F041AD" w:rsidRDefault="00B970F2" w:rsidP="00ED21EA">
      <w:pPr>
        <w:pStyle w:val="5BodyText"/>
        <w:rPr>
          <w:color w:val="333333" w:themeColor="background1"/>
        </w:rPr>
      </w:pPr>
      <w:r w:rsidRPr="00F041AD">
        <w:rPr>
          <w:color w:val="333333" w:themeColor="background1"/>
        </w:rPr>
        <w:t>The information, data, or work presented herein was funded in part by the Office of Energy Efficiency and Renewable Energy (EERE), U.S. Department of Energy, under Award Number DE-EE0006885.</w:t>
      </w:r>
    </w:p>
    <w:p w14:paraId="4FEC5EA9" w14:textId="77777777" w:rsidR="00B970F2" w:rsidRPr="00F041AD" w:rsidRDefault="00B970F2" w:rsidP="00ED21EA">
      <w:pPr>
        <w:pStyle w:val="5BodyText"/>
        <w:rPr>
          <w:color w:val="333333" w:themeColor="background1"/>
        </w:rPr>
      </w:pPr>
    </w:p>
    <w:p w14:paraId="0E39A991" w14:textId="77777777" w:rsidR="00B970F2" w:rsidRPr="00F041AD" w:rsidRDefault="00B970F2" w:rsidP="007F3F44">
      <w:pPr>
        <w:pStyle w:val="6BodyHighlight"/>
        <w:rPr>
          <w:color w:val="333333" w:themeColor="background1"/>
        </w:rPr>
      </w:pPr>
      <w:bookmarkStart w:id="5" w:name="_Toc322961573"/>
      <w:r w:rsidRPr="00F041AD">
        <w:rPr>
          <w:color w:val="333333" w:themeColor="background1"/>
        </w:rPr>
        <w:t>Project Team:</w:t>
      </w:r>
      <w:bookmarkEnd w:id="5"/>
    </w:p>
    <w:p w14:paraId="552AD5B3" w14:textId="77777777" w:rsidR="00B970F2" w:rsidRPr="00F041AD" w:rsidRDefault="00B970F2" w:rsidP="00ED21EA">
      <w:pPr>
        <w:pStyle w:val="5BodyText"/>
        <w:rPr>
          <w:color w:val="333333" w:themeColor="background1"/>
        </w:rPr>
      </w:pPr>
      <w:r w:rsidRPr="00F041AD">
        <w:rPr>
          <w:color w:val="333333" w:themeColor="background1"/>
        </w:rPr>
        <w:t>Becky Alexander (LHB)</w:t>
      </w:r>
    </w:p>
    <w:p w14:paraId="67550C71" w14:textId="77777777" w:rsidR="00B970F2" w:rsidRPr="00F041AD" w:rsidRDefault="00B970F2" w:rsidP="00ED21EA">
      <w:pPr>
        <w:pStyle w:val="5BodyText"/>
        <w:rPr>
          <w:color w:val="333333" w:themeColor="background1"/>
        </w:rPr>
      </w:pPr>
      <w:r w:rsidRPr="00F041AD">
        <w:rPr>
          <w:color w:val="333333" w:themeColor="background1"/>
        </w:rPr>
        <w:t>Amanda Bilek (Great Plains Institute)</w:t>
      </w:r>
    </w:p>
    <w:p w14:paraId="44CB31C7" w14:textId="77777777" w:rsidR="00B970F2" w:rsidRPr="00F041AD" w:rsidRDefault="00B970F2" w:rsidP="00ED21EA">
      <w:pPr>
        <w:pStyle w:val="5BodyText"/>
        <w:rPr>
          <w:color w:val="333333" w:themeColor="background1"/>
        </w:rPr>
      </w:pPr>
      <w:r w:rsidRPr="00F041AD">
        <w:rPr>
          <w:color w:val="333333" w:themeColor="background1"/>
        </w:rPr>
        <w:t>Maureen Colburn (LHB)</w:t>
      </w:r>
    </w:p>
    <w:p w14:paraId="42417A42" w14:textId="7DCD89DD" w:rsidR="00B970F2" w:rsidRPr="00F041AD" w:rsidRDefault="00B970F2" w:rsidP="00ED21EA">
      <w:pPr>
        <w:pStyle w:val="5BodyText"/>
        <w:rPr>
          <w:color w:val="333333" w:themeColor="background1"/>
        </w:rPr>
      </w:pPr>
      <w:r w:rsidRPr="00F041AD">
        <w:rPr>
          <w:color w:val="333333" w:themeColor="background1"/>
        </w:rPr>
        <w:t xml:space="preserve">Stephen </w:t>
      </w:r>
      <w:proofErr w:type="spellStart"/>
      <w:r w:rsidRPr="00F041AD">
        <w:rPr>
          <w:color w:val="333333" w:themeColor="background1"/>
        </w:rPr>
        <w:t>Doig</w:t>
      </w:r>
      <w:proofErr w:type="spellEnd"/>
      <w:r w:rsidRPr="00F041AD">
        <w:rPr>
          <w:color w:val="333333" w:themeColor="background1"/>
        </w:rPr>
        <w:t xml:space="preserve"> (</w:t>
      </w:r>
      <w:r w:rsidR="00C95DE4" w:rsidRPr="00F041AD">
        <w:rPr>
          <w:color w:val="333333" w:themeColor="background1"/>
        </w:rPr>
        <w:t>Rocky Mountain Institute</w:t>
      </w:r>
      <w:r w:rsidRPr="00F041AD">
        <w:rPr>
          <w:color w:val="333333" w:themeColor="background1"/>
        </w:rPr>
        <w:t>)</w:t>
      </w:r>
    </w:p>
    <w:p w14:paraId="64FBFD15" w14:textId="07ED0F5E" w:rsidR="00B970F2" w:rsidRPr="00F041AD" w:rsidRDefault="00B970F2" w:rsidP="00ED21EA">
      <w:pPr>
        <w:pStyle w:val="5BodyText"/>
        <w:rPr>
          <w:color w:val="333333" w:themeColor="background1"/>
        </w:rPr>
      </w:pPr>
      <w:r w:rsidRPr="00F041AD">
        <w:rPr>
          <w:color w:val="333333" w:themeColor="background1"/>
        </w:rPr>
        <w:t>Mark Dyson (</w:t>
      </w:r>
      <w:r w:rsidR="00C95DE4" w:rsidRPr="00F041AD">
        <w:rPr>
          <w:color w:val="333333" w:themeColor="background1"/>
        </w:rPr>
        <w:t>Rocky Mountain Institute</w:t>
      </w:r>
      <w:r w:rsidRPr="00F041AD">
        <w:rPr>
          <w:color w:val="333333" w:themeColor="background1"/>
        </w:rPr>
        <w:t>)</w:t>
      </w:r>
    </w:p>
    <w:p w14:paraId="3228F6EE" w14:textId="5BC71959" w:rsidR="00B970F2" w:rsidRPr="00F041AD" w:rsidRDefault="00B970F2" w:rsidP="00ED21EA">
      <w:pPr>
        <w:pStyle w:val="5BodyText"/>
        <w:rPr>
          <w:color w:val="333333" w:themeColor="background1"/>
        </w:rPr>
      </w:pPr>
      <w:r w:rsidRPr="00F041AD">
        <w:rPr>
          <w:color w:val="333333" w:themeColor="background1"/>
        </w:rPr>
        <w:t>Erik Fowler (</w:t>
      </w:r>
      <w:r w:rsidR="00C95DE4" w:rsidRPr="00F041AD">
        <w:rPr>
          <w:color w:val="333333" w:themeColor="background1"/>
        </w:rPr>
        <w:t>Rocky Mountain Institute</w:t>
      </w:r>
      <w:r w:rsidRPr="00F041AD">
        <w:rPr>
          <w:color w:val="333333" w:themeColor="background1"/>
        </w:rPr>
        <w:t>)</w:t>
      </w:r>
    </w:p>
    <w:p w14:paraId="6895DC4E" w14:textId="77777777" w:rsidR="00B970F2" w:rsidRPr="00F041AD" w:rsidRDefault="00B970F2" w:rsidP="00ED21EA">
      <w:pPr>
        <w:pStyle w:val="5BodyText"/>
        <w:rPr>
          <w:color w:val="333333" w:themeColor="background1"/>
        </w:rPr>
      </w:pPr>
      <w:r w:rsidRPr="00F041AD">
        <w:rPr>
          <w:color w:val="333333" w:themeColor="background1"/>
        </w:rPr>
        <w:t>Anthony Fryer (MN Department of Commerce)</w:t>
      </w:r>
    </w:p>
    <w:p w14:paraId="58317FFD" w14:textId="77777777" w:rsidR="00B970F2" w:rsidRPr="00F041AD" w:rsidRDefault="00B970F2" w:rsidP="00ED21EA">
      <w:pPr>
        <w:pStyle w:val="5BodyText"/>
        <w:rPr>
          <w:color w:val="333333" w:themeColor="background1"/>
        </w:rPr>
      </w:pPr>
      <w:r w:rsidRPr="00F041AD">
        <w:rPr>
          <w:color w:val="333333" w:themeColor="background1"/>
        </w:rPr>
        <w:t xml:space="preserve">Amira </w:t>
      </w:r>
      <w:proofErr w:type="spellStart"/>
      <w:r w:rsidRPr="00F041AD">
        <w:rPr>
          <w:color w:val="333333" w:themeColor="background1"/>
        </w:rPr>
        <w:t>Hamdon</w:t>
      </w:r>
      <w:proofErr w:type="spellEnd"/>
      <w:r w:rsidRPr="00F041AD">
        <w:rPr>
          <w:color w:val="333333" w:themeColor="background1"/>
        </w:rPr>
        <w:t xml:space="preserve"> (Great Plains Institute)</w:t>
      </w:r>
    </w:p>
    <w:p w14:paraId="7E07FD13" w14:textId="77777777" w:rsidR="00B970F2" w:rsidRPr="00F041AD" w:rsidRDefault="00B970F2" w:rsidP="00ED21EA">
      <w:pPr>
        <w:pStyle w:val="5BodyText"/>
        <w:rPr>
          <w:color w:val="333333" w:themeColor="background1"/>
        </w:rPr>
      </w:pPr>
      <w:r w:rsidRPr="00F041AD">
        <w:rPr>
          <w:color w:val="333333" w:themeColor="background1"/>
        </w:rPr>
        <w:t>Brendan Jordan (Great Plains Institute)</w:t>
      </w:r>
    </w:p>
    <w:p w14:paraId="1384BEE3" w14:textId="77777777" w:rsidR="00B970F2" w:rsidRPr="00F041AD" w:rsidRDefault="00B970F2" w:rsidP="00ED21EA">
      <w:pPr>
        <w:pStyle w:val="5BodyText"/>
        <w:rPr>
          <w:color w:val="333333" w:themeColor="background1"/>
        </w:rPr>
      </w:pPr>
      <w:r w:rsidRPr="00F041AD">
        <w:rPr>
          <w:color w:val="333333" w:themeColor="background1"/>
        </w:rPr>
        <w:t xml:space="preserve">Annie </w:t>
      </w:r>
      <w:proofErr w:type="spellStart"/>
      <w:r w:rsidRPr="00F041AD">
        <w:rPr>
          <w:color w:val="333333" w:themeColor="background1"/>
        </w:rPr>
        <w:t>Levenson</w:t>
      </w:r>
      <w:proofErr w:type="spellEnd"/>
      <w:r w:rsidRPr="00F041AD">
        <w:rPr>
          <w:color w:val="333333" w:themeColor="background1"/>
        </w:rPr>
        <w:t>-Falk (Legislative Energy Commission)</w:t>
      </w:r>
    </w:p>
    <w:p w14:paraId="669BBD0A" w14:textId="0C16A84C" w:rsidR="00B970F2" w:rsidRPr="00F041AD" w:rsidRDefault="0090792F" w:rsidP="00ED21EA">
      <w:pPr>
        <w:pStyle w:val="5BodyText"/>
        <w:rPr>
          <w:color w:val="333333" w:themeColor="background1"/>
        </w:rPr>
      </w:pPr>
      <w:r w:rsidRPr="00F041AD">
        <w:rPr>
          <w:color w:val="333333" w:themeColor="background1"/>
        </w:rPr>
        <w:t xml:space="preserve">Christa Owens </w:t>
      </w:r>
      <w:r w:rsidR="00B970F2" w:rsidRPr="00F041AD">
        <w:rPr>
          <w:color w:val="333333" w:themeColor="background1"/>
        </w:rPr>
        <w:t>Michelet (</w:t>
      </w:r>
      <w:r w:rsidR="00C95DE4" w:rsidRPr="00F041AD">
        <w:rPr>
          <w:color w:val="333333" w:themeColor="background1"/>
        </w:rPr>
        <w:t>Rocky Mountain Institute</w:t>
      </w:r>
      <w:r w:rsidR="00B970F2" w:rsidRPr="00F041AD">
        <w:rPr>
          <w:color w:val="333333" w:themeColor="background1"/>
        </w:rPr>
        <w:t>)</w:t>
      </w:r>
    </w:p>
    <w:p w14:paraId="7FB019C5" w14:textId="5D34DA3A" w:rsidR="00B970F2" w:rsidRPr="00F041AD" w:rsidRDefault="00B970F2" w:rsidP="00ED21EA">
      <w:pPr>
        <w:pStyle w:val="5BodyText"/>
        <w:rPr>
          <w:color w:val="333333" w:themeColor="background1"/>
        </w:rPr>
      </w:pPr>
      <w:r w:rsidRPr="00F041AD">
        <w:rPr>
          <w:color w:val="333333" w:themeColor="background1"/>
        </w:rPr>
        <w:t xml:space="preserve">Lola </w:t>
      </w:r>
      <w:proofErr w:type="spellStart"/>
      <w:r w:rsidRPr="00F041AD">
        <w:rPr>
          <w:color w:val="333333" w:themeColor="background1"/>
        </w:rPr>
        <w:t>Scho</w:t>
      </w:r>
      <w:r w:rsidR="00C95DE4" w:rsidRPr="00F041AD">
        <w:rPr>
          <w:color w:val="333333" w:themeColor="background1"/>
        </w:rPr>
        <w:t>enrich</w:t>
      </w:r>
      <w:proofErr w:type="spellEnd"/>
      <w:r w:rsidR="00C95DE4" w:rsidRPr="00F041AD">
        <w:rPr>
          <w:color w:val="333333" w:themeColor="background1"/>
        </w:rPr>
        <w:t xml:space="preserve"> (Great Plains Institute)</w:t>
      </w:r>
    </w:p>
    <w:p w14:paraId="1A3C168C" w14:textId="21D9A569" w:rsidR="00B970F2" w:rsidRPr="00F041AD" w:rsidRDefault="00B970F2" w:rsidP="00ED21EA">
      <w:pPr>
        <w:pStyle w:val="5BodyText"/>
        <w:rPr>
          <w:color w:val="333333" w:themeColor="background1"/>
        </w:rPr>
      </w:pPr>
      <w:r w:rsidRPr="00F041AD">
        <w:rPr>
          <w:color w:val="333333" w:themeColor="background1"/>
        </w:rPr>
        <w:t>Lise Trudeau (MN Department of Commerce)</w:t>
      </w:r>
    </w:p>
    <w:p w14:paraId="39F8630B" w14:textId="77777777" w:rsidR="00B970F2" w:rsidRPr="00F041AD" w:rsidRDefault="00B970F2" w:rsidP="00ED21EA">
      <w:pPr>
        <w:pStyle w:val="5BodyText"/>
        <w:rPr>
          <w:color w:val="333333" w:themeColor="background1"/>
        </w:rPr>
      </w:pPr>
    </w:p>
    <w:p w14:paraId="13AA9C3D" w14:textId="77777777" w:rsidR="00D30012" w:rsidRPr="00F041AD" w:rsidRDefault="00D30012" w:rsidP="007F3F44">
      <w:pPr>
        <w:pStyle w:val="6BodyHighlight"/>
        <w:rPr>
          <w:color w:val="333333" w:themeColor="background1"/>
        </w:rPr>
      </w:pPr>
      <w:bookmarkStart w:id="6" w:name="_Toc322961574"/>
      <w:r w:rsidRPr="00F041AD">
        <w:rPr>
          <w:color w:val="333333" w:themeColor="background1"/>
        </w:rPr>
        <w:t>Stakeholder Advisory Committee Members:</w:t>
      </w:r>
      <w:bookmarkEnd w:id="6"/>
    </w:p>
    <w:p w14:paraId="13389A58" w14:textId="77777777" w:rsidR="00D30012" w:rsidRPr="00F041AD" w:rsidRDefault="00D30012" w:rsidP="00ED21EA">
      <w:pPr>
        <w:pStyle w:val="5BodyText"/>
        <w:rPr>
          <w:color w:val="333333" w:themeColor="background1"/>
        </w:rPr>
      </w:pPr>
      <w:proofErr w:type="spellStart"/>
      <w:r w:rsidRPr="00F041AD">
        <w:rPr>
          <w:color w:val="333333" w:themeColor="background1"/>
        </w:rPr>
        <w:t>Massoud</w:t>
      </w:r>
      <w:proofErr w:type="spellEnd"/>
      <w:r w:rsidRPr="00F041AD">
        <w:rPr>
          <w:color w:val="333333" w:themeColor="background1"/>
        </w:rPr>
        <w:t xml:space="preserve"> Amin, Technological Leadership Institute, University of Minnesota</w:t>
      </w:r>
    </w:p>
    <w:p w14:paraId="7D85CEB3" w14:textId="77777777" w:rsidR="00D30012" w:rsidRPr="00F041AD" w:rsidRDefault="00D30012" w:rsidP="00ED21EA">
      <w:pPr>
        <w:pStyle w:val="5BodyText"/>
        <w:rPr>
          <w:color w:val="333333" w:themeColor="background1"/>
        </w:rPr>
      </w:pPr>
      <w:r w:rsidRPr="00F041AD">
        <w:rPr>
          <w:color w:val="333333" w:themeColor="background1"/>
        </w:rPr>
        <w:t>Jeffrey Beale, Honeywell</w:t>
      </w:r>
    </w:p>
    <w:p w14:paraId="115793BA" w14:textId="77777777" w:rsidR="00D30012" w:rsidRPr="00F041AD" w:rsidRDefault="00D30012" w:rsidP="00ED21EA">
      <w:pPr>
        <w:pStyle w:val="5BodyText"/>
        <w:rPr>
          <w:color w:val="333333" w:themeColor="background1"/>
        </w:rPr>
      </w:pPr>
      <w:r w:rsidRPr="00F041AD">
        <w:rPr>
          <w:color w:val="333333" w:themeColor="background1"/>
        </w:rPr>
        <w:t xml:space="preserve">Sheri </w:t>
      </w:r>
      <w:proofErr w:type="spellStart"/>
      <w:r w:rsidRPr="00F041AD">
        <w:rPr>
          <w:color w:val="333333" w:themeColor="background1"/>
        </w:rPr>
        <w:t>Brezinka</w:t>
      </w:r>
      <w:proofErr w:type="spellEnd"/>
      <w:r w:rsidRPr="00F041AD">
        <w:rPr>
          <w:color w:val="333333" w:themeColor="background1"/>
        </w:rPr>
        <w:t>, US Green Building Council, Minnesota Chapter</w:t>
      </w:r>
    </w:p>
    <w:p w14:paraId="67CB1338" w14:textId="77777777" w:rsidR="00D30012" w:rsidRPr="00F041AD" w:rsidRDefault="00D30012" w:rsidP="00ED21EA">
      <w:pPr>
        <w:pStyle w:val="5BodyText"/>
        <w:rPr>
          <w:color w:val="333333" w:themeColor="background1"/>
        </w:rPr>
      </w:pPr>
      <w:r w:rsidRPr="00F041AD">
        <w:rPr>
          <w:color w:val="333333" w:themeColor="background1"/>
        </w:rPr>
        <w:t xml:space="preserve">Dave </w:t>
      </w:r>
      <w:proofErr w:type="spellStart"/>
      <w:r w:rsidRPr="00F041AD">
        <w:rPr>
          <w:color w:val="333333" w:themeColor="background1"/>
        </w:rPr>
        <w:t>Chura</w:t>
      </w:r>
      <w:proofErr w:type="spellEnd"/>
      <w:r w:rsidRPr="00F041AD">
        <w:rPr>
          <w:color w:val="333333" w:themeColor="background1"/>
        </w:rPr>
        <w:t>, Minnesota Power</w:t>
      </w:r>
    </w:p>
    <w:p w14:paraId="74AD4493" w14:textId="77777777" w:rsidR="00D30012" w:rsidRPr="00F041AD" w:rsidRDefault="00D30012" w:rsidP="00ED21EA">
      <w:pPr>
        <w:pStyle w:val="5BodyText"/>
        <w:rPr>
          <w:color w:val="333333" w:themeColor="background1"/>
        </w:rPr>
      </w:pPr>
      <w:r w:rsidRPr="00F041AD">
        <w:rPr>
          <w:color w:val="333333" w:themeColor="background1"/>
        </w:rPr>
        <w:t xml:space="preserve">Joe </w:t>
      </w:r>
      <w:proofErr w:type="spellStart"/>
      <w:r w:rsidRPr="00F041AD">
        <w:rPr>
          <w:color w:val="333333" w:themeColor="background1"/>
        </w:rPr>
        <w:t>Drapeau</w:t>
      </w:r>
      <w:proofErr w:type="spellEnd"/>
      <w:r w:rsidRPr="00F041AD">
        <w:rPr>
          <w:color w:val="333333" w:themeColor="background1"/>
        </w:rPr>
        <w:t>, New Flyer</w:t>
      </w:r>
    </w:p>
    <w:p w14:paraId="362CB78F" w14:textId="77777777" w:rsidR="00D30012" w:rsidRPr="00F041AD" w:rsidRDefault="00D30012" w:rsidP="00ED21EA">
      <w:pPr>
        <w:pStyle w:val="5BodyText"/>
        <w:rPr>
          <w:color w:val="333333" w:themeColor="background1"/>
        </w:rPr>
      </w:pPr>
      <w:r w:rsidRPr="00F041AD">
        <w:rPr>
          <w:color w:val="333333" w:themeColor="background1"/>
        </w:rPr>
        <w:t>Wayne Dupuis, Fond du Lac Reservation</w:t>
      </w:r>
    </w:p>
    <w:p w14:paraId="6C8AC209" w14:textId="77777777" w:rsidR="00D30012" w:rsidRPr="00F041AD" w:rsidRDefault="00D30012" w:rsidP="00ED21EA">
      <w:pPr>
        <w:pStyle w:val="5BodyText"/>
        <w:rPr>
          <w:color w:val="333333" w:themeColor="background1"/>
        </w:rPr>
      </w:pPr>
      <w:r w:rsidRPr="00F041AD">
        <w:rPr>
          <w:color w:val="333333" w:themeColor="background1"/>
        </w:rPr>
        <w:t xml:space="preserve">Jason </w:t>
      </w:r>
      <w:proofErr w:type="spellStart"/>
      <w:r w:rsidRPr="00F041AD">
        <w:rPr>
          <w:color w:val="333333" w:themeColor="background1"/>
        </w:rPr>
        <w:t>Edens</w:t>
      </w:r>
      <w:proofErr w:type="spellEnd"/>
      <w:r w:rsidRPr="00F041AD">
        <w:rPr>
          <w:color w:val="333333" w:themeColor="background1"/>
        </w:rPr>
        <w:t>, Rural Renewable Energy Alliance</w:t>
      </w:r>
    </w:p>
    <w:p w14:paraId="2242D25A" w14:textId="77777777" w:rsidR="00D30012" w:rsidRPr="00F041AD" w:rsidRDefault="00D30012" w:rsidP="00ED21EA">
      <w:pPr>
        <w:pStyle w:val="5BodyText"/>
        <w:rPr>
          <w:color w:val="333333" w:themeColor="background1"/>
        </w:rPr>
      </w:pPr>
      <w:r w:rsidRPr="00F041AD">
        <w:rPr>
          <w:color w:val="333333" w:themeColor="background1"/>
        </w:rPr>
        <w:t>Jenny Edwards, Center for Energy and the Environment</w:t>
      </w:r>
    </w:p>
    <w:p w14:paraId="788C7C91" w14:textId="77777777" w:rsidR="00D30012" w:rsidRPr="00F041AD" w:rsidRDefault="00D30012" w:rsidP="00ED21EA">
      <w:pPr>
        <w:pStyle w:val="5BodyText"/>
        <w:rPr>
          <w:color w:val="333333" w:themeColor="background1"/>
        </w:rPr>
      </w:pPr>
      <w:r w:rsidRPr="00F041AD">
        <w:rPr>
          <w:color w:val="333333" w:themeColor="background1"/>
        </w:rPr>
        <w:t xml:space="preserve">Katie </w:t>
      </w:r>
      <w:proofErr w:type="spellStart"/>
      <w:r w:rsidRPr="00F041AD">
        <w:rPr>
          <w:color w:val="333333" w:themeColor="background1"/>
        </w:rPr>
        <w:t>Fernholz</w:t>
      </w:r>
      <w:proofErr w:type="spellEnd"/>
      <w:r w:rsidRPr="00F041AD">
        <w:rPr>
          <w:color w:val="333333" w:themeColor="background1"/>
        </w:rPr>
        <w:t>, Dovetail Partners</w:t>
      </w:r>
    </w:p>
    <w:p w14:paraId="4093B785" w14:textId="77777777" w:rsidR="00D30012" w:rsidRPr="00F041AD" w:rsidRDefault="00D30012" w:rsidP="00ED21EA">
      <w:pPr>
        <w:pStyle w:val="5BodyText"/>
        <w:rPr>
          <w:color w:val="333333" w:themeColor="background1"/>
        </w:rPr>
      </w:pPr>
      <w:r w:rsidRPr="00F041AD">
        <w:rPr>
          <w:color w:val="333333" w:themeColor="background1"/>
        </w:rPr>
        <w:t>Ken Geisler, Siemens</w:t>
      </w:r>
    </w:p>
    <w:p w14:paraId="7DF43211" w14:textId="77777777" w:rsidR="00D30012" w:rsidRPr="00F041AD" w:rsidRDefault="00D30012" w:rsidP="00ED21EA">
      <w:pPr>
        <w:pStyle w:val="5BodyText"/>
        <w:rPr>
          <w:color w:val="333333" w:themeColor="background1"/>
        </w:rPr>
      </w:pPr>
      <w:r w:rsidRPr="00F041AD">
        <w:rPr>
          <w:color w:val="333333" w:themeColor="background1"/>
        </w:rPr>
        <w:t>Ben Gerber, Minnesota Chamber of Commerce</w:t>
      </w:r>
    </w:p>
    <w:p w14:paraId="1C31C4B1" w14:textId="77777777" w:rsidR="00D30012" w:rsidRPr="00F041AD" w:rsidRDefault="00D30012" w:rsidP="00ED21EA">
      <w:pPr>
        <w:pStyle w:val="5BodyText"/>
        <w:rPr>
          <w:color w:val="333333" w:themeColor="background1"/>
        </w:rPr>
      </w:pPr>
      <w:r w:rsidRPr="00F041AD">
        <w:rPr>
          <w:color w:val="333333" w:themeColor="background1"/>
        </w:rPr>
        <w:t>Richard Graves, Center for Sustainable Building Research</w:t>
      </w:r>
    </w:p>
    <w:p w14:paraId="3C53805C" w14:textId="77777777" w:rsidR="00D30012" w:rsidRPr="00F041AD" w:rsidRDefault="00D30012" w:rsidP="00ED21EA">
      <w:pPr>
        <w:pStyle w:val="5BodyText"/>
        <w:rPr>
          <w:color w:val="333333" w:themeColor="background1"/>
        </w:rPr>
      </w:pPr>
      <w:r w:rsidRPr="00F041AD">
        <w:rPr>
          <w:color w:val="333333" w:themeColor="background1"/>
        </w:rPr>
        <w:t xml:space="preserve">Katie Gulley, </w:t>
      </w:r>
      <w:proofErr w:type="spellStart"/>
      <w:r w:rsidRPr="00F041AD">
        <w:rPr>
          <w:color w:val="333333" w:themeColor="background1"/>
        </w:rPr>
        <w:t>BlueGreen</w:t>
      </w:r>
      <w:proofErr w:type="spellEnd"/>
      <w:r w:rsidRPr="00F041AD">
        <w:rPr>
          <w:color w:val="333333" w:themeColor="background1"/>
        </w:rPr>
        <w:t xml:space="preserve"> Alliance</w:t>
      </w:r>
    </w:p>
    <w:p w14:paraId="6A701CE4" w14:textId="77777777" w:rsidR="00D30012" w:rsidRPr="00F041AD" w:rsidRDefault="00D30012" w:rsidP="00ED21EA">
      <w:pPr>
        <w:pStyle w:val="5BodyText"/>
        <w:rPr>
          <w:color w:val="333333" w:themeColor="background1"/>
        </w:rPr>
      </w:pPr>
      <w:r w:rsidRPr="00F041AD">
        <w:rPr>
          <w:color w:val="333333" w:themeColor="background1"/>
        </w:rPr>
        <w:t>Jeff Haase, Great River Energy</w:t>
      </w:r>
    </w:p>
    <w:p w14:paraId="6A113E01" w14:textId="77777777" w:rsidR="00D30012" w:rsidRPr="00F041AD" w:rsidRDefault="00D30012" w:rsidP="00ED21EA">
      <w:pPr>
        <w:pStyle w:val="5BodyText"/>
        <w:rPr>
          <w:color w:val="333333" w:themeColor="background1"/>
        </w:rPr>
      </w:pPr>
      <w:r w:rsidRPr="00F041AD">
        <w:rPr>
          <w:color w:val="333333" w:themeColor="background1"/>
        </w:rPr>
        <w:t>Zack Hansen, Ramsey County</w:t>
      </w:r>
    </w:p>
    <w:p w14:paraId="32848AC6" w14:textId="77777777" w:rsidR="00D30012" w:rsidRPr="00F041AD" w:rsidRDefault="00D30012" w:rsidP="00ED21EA">
      <w:pPr>
        <w:pStyle w:val="5BodyText"/>
        <w:rPr>
          <w:color w:val="333333" w:themeColor="background1"/>
        </w:rPr>
      </w:pPr>
      <w:r w:rsidRPr="00F041AD">
        <w:rPr>
          <w:color w:val="333333" w:themeColor="background1"/>
        </w:rPr>
        <w:lastRenderedPageBreak/>
        <w:t xml:space="preserve">Jen </w:t>
      </w:r>
      <w:proofErr w:type="spellStart"/>
      <w:r w:rsidRPr="00F041AD">
        <w:rPr>
          <w:color w:val="333333" w:themeColor="background1"/>
        </w:rPr>
        <w:t>Hassebroek</w:t>
      </w:r>
      <w:proofErr w:type="spellEnd"/>
      <w:r w:rsidRPr="00F041AD">
        <w:rPr>
          <w:color w:val="333333" w:themeColor="background1"/>
        </w:rPr>
        <w:t>, City of Oakdale</w:t>
      </w:r>
    </w:p>
    <w:p w14:paraId="21CCA2AD" w14:textId="77777777" w:rsidR="00D30012" w:rsidRPr="00F041AD" w:rsidRDefault="00D30012" w:rsidP="00ED21EA">
      <w:pPr>
        <w:pStyle w:val="5BodyText"/>
        <w:rPr>
          <w:color w:val="333333" w:themeColor="background1"/>
        </w:rPr>
      </w:pPr>
      <w:r w:rsidRPr="00F041AD">
        <w:rPr>
          <w:color w:val="333333" w:themeColor="background1"/>
        </w:rPr>
        <w:t xml:space="preserve">Ryan </w:t>
      </w:r>
      <w:proofErr w:type="spellStart"/>
      <w:r w:rsidRPr="00F041AD">
        <w:rPr>
          <w:color w:val="333333" w:themeColor="background1"/>
        </w:rPr>
        <w:t>Hentges</w:t>
      </w:r>
      <w:proofErr w:type="spellEnd"/>
      <w:r w:rsidRPr="00F041AD">
        <w:rPr>
          <w:color w:val="333333" w:themeColor="background1"/>
        </w:rPr>
        <w:t>, Minnesota Valley Electric Cooperative</w:t>
      </w:r>
    </w:p>
    <w:p w14:paraId="42898B08" w14:textId="77777777" w:rsidR="00D30012" w:rsidRPr="00F041AD" w:rsidRDefault="00D30012" w:rsidP="00ED21EA">
      <w:pPr>
        <w:pStyle w:val="5BodyText"/>
        <w:rPr>
          <w:color w:val="333333" w:themeColor="background1"/>
        </w:rPr>
      </w:pPr>
      <w:r w:rsidRPr="00F041AD">
        <w:rPr>
          <w:color w:val="333333" w:themeColor="background1"/>
        </w:rPr>
        <w:t>Joe Houseman, Wellington Management</w:t>
      </w:r>
    </w:p>
    <w:p w14:paraId="31A796FC" w14:textId="77777777" w:rsidR="00D30012" w:rsidRPr="00F041AD" w:rsidRDefault="00D30012" w:rsidP="00ED21EA">
      <w:pPr>
        <w:pStyle w:val="5BodyText"/>
        <w:rPr>
          <w:color w:val="333333" w:themeColor="background1"/>
        </w:rPr>
      </w:pPr>
      <w:r w:rsidRPr="00F041AD">
        <w:rPr>
          <w:color w:val="333333" w:themeColor="background1"/>
        </w:rPr>
        <w:t>David Hughes, Target</w:t>
      </w:r>
    </w:p>
    <w:p w14:paraId="05581CAA" w14:textId="77777777" w:rsidR="00D30012" w:rsidRPr="00F041AD" w:rsidRDefault="00D30012" w:rsidP="00ED21EA">
      <w:pPr>
        <w:pStyle w:val="5BodyText"/>
        <w:rPr>
          <w:color w:val="333333" w:themeColor="background1"/>
        </w:rPr>
      </w:pPr>
      <w:r w:rsidRPr="00F041AD">
        <w:rPr>
          <w:color w:val="333333" w:themeColor="background1"/>
        </w:rPr>
        <w:t xml:space="preserve">Robert </w:t>
      </w:r>
      <w:proofErr w:type="spellStart"/>
      <w:r w:rsidRPr="00F041AD">
        <w:rPr>
          <w:color w:val="333333" w:themeColor="background1"/>
        </w:rPr>
        <w:t>Jagusch</w:t>
      </w:r>
      <w:proofErr w:type="spellEnd"/>
      <w:r w:rsidRPr="00F041AD">
        <w:rPr>
          <w:color w:val="333333" w:themeColor="background1"/>
        </w:rPr>
        <w:t>, Minnesota Municipal Utilities Association</w:t>
      </w:r>
    </w:p>
    <w:p w14:paraId="20505471" w14:textId="77777777" w:rsidR="00D30012" w:rsidRPr="00F041AD" w:rsidRDefault="00D30012" w:rsidP="00ED21EA">
      <w:pPr>
        <w:pStyle w:val="5BodyText"/>
        <w:rPr>
          <w:color w:val="333333" w:themeColor="background1"/>
        </w:rPr>
      </w:pPr>
      <w:r w:rsidRPr="00F041AD">
        <w:rPr>
          <w:color w:val="333333" w:themeColor="background1"/>
        </w:rPr>
        <w:t>Bruce Jones, Minnesota State University Mankato</w:t>
      </w:r>
    </w:p>
    <w:p w14:paraId="44C42CBF" w14:textId="77777777" w:rsidR="00D30012" w:rsidRPr="00F041AD" w:rsidRDefault="00D30012" w:rsidP="00ED21EA">
      <w:pPr>
        <w:pStyle w:val="5BodyText"/>
        <w:rPr>
          <w:color w:val="333333" w:themeColor="background1"/>
        </w:rPr>
      </w:pPr>
      <w:r w:rsidRPr="00F041AD">
        <w:rPr>
          <w:color w:val="333333" w:themeColor="background1"/>
        </w:rPr>
        <w:t xml:space="preserve">Justin </w:t>
      </w:r>
      <w:proofErr w:type="spellStart"/>
      <w:r w:rsidRPr="00F041AD">
        <w:rPr>
          <w:color w:val="333333" w:themeColor="background1"/>
        </w:rPr>
        <w:t>Kaster</w:t>
      </w:r>
      <w:proofErr w:type="spellEnd"/>
      <w:r w:rsidRPr="00F041AD">
        <w:rPr>
          <w:color w:val="333333" w:themeColor="background1"/>
        </w:rPr>
        <w:t>, 2100 Advisors</w:t>
      </w:r>
    </w:p>
    <w:p w14:paraId="34F56FFB" w14:textId="77777777" w:rsidR="00D30012" w:rsidRPr="00F041AD" w:rsidRDefault="00D30012" w:rsidP="00ED21EA">
      <w:pPr>
        <w:pStyle w:val="5BodyText"/>
        <w:rPr>
          <w:color w:val="333333" w:themeColor="background1"/>
        </w:rPr>
      </w:pPr>
      <w:r w:rsidRPr="00F041AD">
        <w:rPr>
          <w:color w:val="333333" w:themeColor="background1"/>
        </w:rPr>
        <w:t xml:space="preserve">Holly </w:t>
      </w:r>
      <w:proofErr w:type="spellStart"/>
      <w:r w:rsidRPr="00F041AD">
        <w:rPr>
          <w:color w:val="333333" w:themeColor="background1"/>
        </w:rPr>
        <w:t>Lahd</w:t>
      </w:r>
      <w:proofErr w:type="spellEnd"/>
      <w:r w:rsidRPr="00F041AD">
        <w:rPr>
          <w:color w:val="333333" w:themeColor="background1"/>
        </w:rPr>
        <w:t>, Fresh Energy</w:t>
      </w:r>
    </w:p>
    <w:p w14:paraId="46D5CCCB" w14:textId="77777777" w:rsidR="00D30012" w:rsidRPr="00F041AD" w:rsidRDefault="00D30012" w:rsidP="00ED21EA">
      <w:pPr>
        <w:pStyle w:val="5BodyText"/>
        <w:rPr>
          <w:color w:val="333333" w:themeColor="background1"/>
        </w:rPr>
      </w:pPr>
      <w:proofErr w:type="spellStart"/>
      <w:r w:rsidRPr="00F041AD">
        <w:rPr>
          <w:color w:val="333333" w:themeColor="background1"/>
        </w:rPr>
        <w:t>Adeel</w:t>
      </w:r>
      <w:proofErr w:type="spellEnd"/>
      <w:r w:rsidRPr="00F041AD">
        <w:rPr>
          <w:color w:val="333333" w:themeColor="background1"/>
        </w:rPr>
        <w:t xml:space="preserve"> </w:t>
      </w:r>
      <w:proofErr w:type="spellStart"/>
      <w:r w:rsidRPr="00F041AD">
        <w:rPr>
          <w:color w:val="333333" w:themeColor="background1"/>
        </w:rPr>
        <w:t>Lari</w:t>
      </w:r>
      <w:proofErr w:type="spellEnd"/>
      <w:r w:rsidRPr="00F041AD">
        <w:rPr>
          <w:color w:val="333333" w:themeColor="background1"/>
        </w:rPr>
        <w:t>, Center for Transportation Studies, University of Minnesota</w:t>
      </w:r>
    </w:p>
    <w:p w14:paraId="131E7512" w14:textId="77777777" w:rsidR="00D30012" w:rsidRPr="00F041AD" w:rsidRDefault="00D30012" w:rsidP="00ED21EA">
      <w:pPr>
        <w:pStyle w:val="5BodyText"/>
        <w:rPr>
          <w:color w:val="333333" w:themeColor="background1"/>
        </w:rPr>
      </w:pPr>
      <w:r w:rsidRPr="00F041AD">
        <w:rPr>
          <w:color w:val="333333" w:themeColor="background1"/>
        </w:rPr>
        <w:t>Nick Mark, CenterPoint Energy</w:t>
      </w:r>
    </w:p>
    <w:p w14:paraId="127DE78B" w14:textId="77777777" w:rsidR="00D30012" w:rsidRPr="00F041AD" w:rsidRDefault="00D30012" w:rsidP="00ED21EA">
      <w:pPr>
        <w:pStyle w:val="5BodyText"/>
        <w:rPr>
          <w:color w:val="333333" w:themeColor="background1"/>
        </w:rPr>
      </w:pPr>
      <w:r w:rsidRPr="00F041AD">
        <w:rPr>
          <w:color w:val="333333" w:themeColor="background1"/>
        </w:rPr>
        <w:t xml:space="preserve">Jennifer </w:t>
      </w:r>
      <w:proofErr w:type="spellStart"/>
      <w:r w:rsidRPr="00F041AD">
        <w:rPr>
          <w:color w:val="333333" w:themeColor="background1"/>
        </w:rPr>
        <w:t>McLoughlin</w:t>
      </w:r>
      <w:proofErr w:type="spellEnd"/>
      <w:r w:rsidRPr="00F041AD">
        <w:rPr>
          <w:color w:val="333333" w:themeColor="background1"/>
        </w:rPr>
        <w:t>, City of Woodbury</w:t>
      </w:r>
    </w:p>
    <w:p w14:paraId="03287539" w14:textId="77777777" w:rsidR="00D30012" w:rsidRPr="00F041AD" w:rsidRDefault="00D30012" w:rsidP="00ED21EA">
      <w:pPr>
        <w:pStyle w:val="5BodyText"/>
        <w:rPr>
          <w:color w:val="333333" w:themeColor="background1"/>
        </w:rPr>
      </w:pPr>
      <w:r w:rsidRPr="00F041AD">
        <w:rPr>
          <w:color w:val="333333" w:themeColor="background1"/>
        </w:rPr>
        <w:t>Lissa Pawlisch, Clean Energy Resource Teams</w:t>
      </w:r>
    </w:p>
    <w:p w14:paraId="4225C840" w14:textId="77777777" w:rsidR="00D30012" w:rsidRPr="00F041AD" w:rsidRDefault="00D30012" w:rsidP="00ED21EA">
      <w:pPr>
        <w:pStyle w:val="5BodyText"/>
        <w:rPr>
          <w:color w:val="333333" w:themeColor="background1"/>
        </w:rPr>
      </w:pPr>
      <w:r w:rsidRPr="00F041AD">
        <w:rPr>
          <w:color w:val="333333" w:themeColor="background1"/>
        </w:rPr>
        <w:t>Annie Perkins, Andersen Corporation</w:t>
      </w:r>
    </w:p>
    <w:p w14:paraId="3E80101A" w14:textId="77777777" w:rsidR="00D30012" w:rsidRPr="00F041AD" w:rsidRDefault="00D30012" w:rsidP="00ED21EA">
      <w:pPr>
        <w:pStyle w:val="5BodyText"/>
        <w:rPr>
          <w:color w:val="333333" w:themeColor="background1"/>
        </w:rPr>
      </w:pPr>
      <w:r w:rsidRPr="00F041AD">
        <w:rPr>
          <w:color w:val="333333" w:themeColor="background1"/>
        </w:rPr>
        <w:t xml:space="preserve">Dana </w:t>
      </w:r>
      <w:proofErr w:type="spellStart"/>
      <w:r w:rsidRPr="00F041AD">
        <w:rPr>
          <w:color w:val="333333" w:themeColor="background1"/>
        </w:rPr>
        <w:t>Persson</w:t>
      </w:r>
      <w:proofErr w:type="spellEnd"/>
      <w:r w:rsidRPr="00F041AD">
        <w:rPr>
          <w:color w:val="333333" w:themeColor="background1"/>
        </w:rPr>
        <w:t>, Green Biologics</w:t>
      </w:r>
    </w:p>
    <w:p w14:paraId="51F67F8C" w14:textId="77777777" w:rsidR="00D30012" w:rsidRPr="00F041AD" w:rsidRDefault="00D30012" w:rsidP="00ED21EA">
      <w:pPr>
        <w:pStyle w:val="5BodyText"/>
        <w:rPr>
          <w:color w:val="333333" w:themeColor="background1"/>
        </w:rPr>
      </w:pPr>
      <w:r w:rsidRPr="00F041AD">
        <w:rPr>
          <w:color w:val="333333" w:themeColor="background1"/>
        </w:rPr>
        <w:t>Kevin Schwain, Xcel Energy</w:t>
      </w:r>
    </w:p>
    <w:p w14:paraId="78881059" w14:textId="77777777" w:rsidR="00D30012" w:rsidRPr="00F041AD" w:rsidRDefault="00D30012" w:rsidP="00ED21EA">
      <w:pPr>
        <w:pStyle w:val="5BodyText"/>
        <w:rPr>
          <w:color w:val="333333" w:themeColor="background1"/>
        </w:rPr>
      </w:pPr>
      <w:r w:rsidRPr="00F041AD">
        <w:rPr>
          <w:color w:val="333333" w:themeColor="background1"/>
        </w:rPr>
        <w:t>Jodi Slick, Ecolibrium3</w:t>
      </w:r>
    </w:p>
    <w:p w14:paraId="16E81527" w14:textId="77777777" w:rsidR="00D30012" w:rsidRPr="00F041AD" w:rsidRDefault="00D30012" w:rsidP="00ED21EA">
      <w:pPr>
        <w:pStyle w:val="5BodyText"/>
        <w:rPr>
          <w:color w:val="333333" w:themeColor="background1"/>
        </w:rPr>
      </w:pPr>
      <w:r w:rsidRPr="00F041AD">
        <w:rPr>
          <w:color w:val="333333" w:themeColor="background1"/>
        </w:rPr>
        <w:t>Brendan Slotterback, City of Minneapolis</w:t>
      </w:r>
    </w:p>
    <w:p w14:paraId="60804585" w14:textId="77777777" w:rsidR="00D30012" w:rsidRPr="00F041AD" w:rsidRDefault="00D30012" w:rsidP="00ED21EA">
      <w:pPr>
        <w:pStyle w:val="5BodyText"/>
        <w:rPr>
          <w:color w:val="333333" w:themeColor="background1"/>
        </w:rPr>
      </w:pPr>
      <w:r w:rsidRPr="00F041AD">
        <w:rPr>
          <w:color w:val="333333" w:themeColor="background1"/>
        </w:rPr>
        <w:t>Ken Smith, Ever‐Green Energy</w:t>
      </w:r>
    </w:p>
    <w:p w14:paraId="08FC7B2F" w14:textId="33F7DCAE" w:rsidR="00B970F2" w:rsidRPr="00F041AD" w:rsidRDefault="00D30012" w:rsidP="00ED21EA">
      <w:pPr>
        <w:pStyle w:val="5BodyText"/>
        <w:rPr>
          <w:color w:val="333333" w:themeColor="background1"/>
        </w:rPr>
      </w:pPr>
      <w:r w:rsidRPr="00F041AD">
        <w:rPr>
          <w:color w:val="333333" w:themeColor="background1"/>
        </w:rPr>
        <w:t>Grace Xavier, 3M</w:t>
      </w:r>
    </w:p>
    <w:p w14:paraId="24B38D22" w14:textId="77777777" w:rsidR="00D30012" w:rsidRPr="00F041AD" w:rsidRDefault="00D30012" w:rsidP="00ED21EA">
      <w:pPr>
        <w:pStyle w:val="5BodyText"/>
        <w:rPr>
          <w:color w:val="333333" w:themeColor="background1"/>
        </w:rPr>
      </w:pPr>
    </w:p>
    <w:p w14:paraId="2B6D0CF0" w14:textId="77777777" w:rsidR="00D30012" w:rsidRPr="00F041AD" w:rsidRDefault="00D30012" w:rsidP="007F3F44">
      <w:pPr>
        <w:pStyle w:val="6BodyHighlight"/>
        <w:rPr>
          <w:color w:val="333333" w:themeColor="background1"/>
        </w:rPr>
      </w:pPr>
      <w:bookmarkStart w:id="7" w:name="_Toc322961575"/>
      <w:r w:rsidRPr="00F041AD">
        <w:rPr>
          <w:color w:val="333333" w:themeColor="background1"/>
        </w:rPr>
        <w:t>Additional Contributions:</w:t>
      </w:r>
      <w:bookmarkEnd w:id="7"/>
      <w:r w:rsidRPr="00F041AD">
        <w:rPr>
          <w:color w:val="333333" w:themeColor="background1"/>
        </w:rPr>
        <w:t xml:space="preserve"> </w:t>
      </w:r>
    </w:p>
    <w:p w14:paraId="51E2462E" w14:textId="77777777" w:rsidR="006506BB" w:rsidRDefault="00D30012" w:rsidP="00ED21EA">
      <w:pPr>
        <w:pStyle w:val="5BodyText"/>
        <w:rPr>
          <w:color w:val="333333" w:themeColor="background1"/>
        </w:rPr>
      </w:pPr>
      <w:r w:rsidRPr="00F041AD">
        <w:rPr>
          <w:color w:val="333333" w:themeColor="background1"/>
        </w:rPr>
        <w:t xml:space="preserve">Special thanks to the stakeholders consulted during the preparation of this report: </w:t>
      </w:r>
    </w:p>
    <w:p w14:paraId="64B1E951" w14:textId="6EBA534A" w:rsidR="002A1AEF" w:rsidRPr="00F041AD" w:rsidRDefault="006506BB" w:rsidP="00ED21EA">
      <w:pPr>
        <w:pStyle w:val="5BodyText"/>
        <w:rPr>
          <w:color w:val="333333" w:themeColor="background1"/>
        </w:rPr>
      </w:pPr>
      <w:r w:rsidRPr="00C01B55">
        <w:t>Scott Norquist (3M), Will Phillips (AARP Minnesota), Brianna Halverson (</w:t>
      </w:r>
      <w:proofErr w:type="spellStart"/>
      <w:r w:rsidRPr="00C01B55">
        <w:t>BlueGreen</w:t>
      </w:r>
      <w:proofErr w:type="spellEnd"/>
      <w:r w:rsidRPr="00C01B55">
        <w:t xml:space="preserve"> Alliance), Jamie </w:t>
      </w:r>
      <w:proofErr w:type="spellStart"/>
      <w:r w:rsidRPr="00C01B55">
        <w:t>Fitzke</w:t>
      </w:r>
      <w:proofErr w:type="spellEnd"/>
      <w:r w:rsidRPr="00C01B55">
        <w:t xml:space="preserve"> (Center for Energy and Environment), Audrey Partridge, Anna Sherman (CenterPoint Energy), Gina Gore (City of Woodbury), Sarah Clarke (Clean Energy Economy MN),  Fritz </w:t>
      </w:r>
      <w:proofErr w:type="spellStart"/>
      <w:r w:rsidRPr="00C01B55">
        <w:t>Ebinger</w:t>
      </w:r>
      <w:proofErr w:type="spellEnd"/>
      <w:r w:rsidRPr="00C01B55">
        <w:t xml:space="preserve"> (Clean Energy Resource Teams), JB Mathews (Cushman </w:t>
      </w:r>
      <w:proofErr w:type="spellStart"/>
      <w:r w:rsidRPr="00C01B55">
        <w:t>Northmarq</w:t>
      </w:r>
      <w:proofErr w:type="spellEnd"/>
      <w:r w:rsidRPr="00C01B55">
        <w:t xml:space="preserve">), Richard </w:t>
      </w:r>
      <w:proofErr w:type="spellStart"/>
      <w:r w:rsidRPr="00C01B55">
        <w:t>Hermans</w:t>
      </w:r>
      <w:proofErr w:type="spellEnd"/>
      <w:r w:rsidRPr="00C01B55">
        <w:t xml:space="preserve"> (Daikin Applied), Chase Taylor (Dovetail Partners), Matt Schuerger (Energy Systems Consulting), Mike Harley (Environmental Initiative), Nina </w:t>
      </w:r>
      <w:proofErr w:type="spellStart"/>
      <w:r w:rsidRPr="00C01B55">
        <w:t>Axelson</w:t>
      </w:r>
      <w:proofErr w:type="spellEnd"/>
      <w:r w:rsidRPr="00C01B55">
        <w:t xml:space="preserve"> (Ever-Green Energy), John Frederick (Frederick Co.), Patrick </w:t>
      </w:r>
      <w:proofErr w:type="spellStart"/>
      <w:r w:rsidRPr="00C01B55">
        <w:t>Mathwig</w:t>
      </w:r>
      <w:proofErr w:type="spellEnd"/>
      <w:r w:rsidRPr="00C01B55">
        <w:t xml:space="preserve"> (Great Plains Institute), Dan Myers (Heartland Energy Solutions), Rep. Pat </w:t>
      </w:r>
      <w:proofErr w:type="spellStart"/>
      <w:r w:rsidRPr="00C01B55">
        <w:t>Garafolo</w:t>
      </w:r>
      <w:proofErr w:type="spellEnd"/>
      <w:r w:rsidRPr="00C01B55">
        <w:t xml:space="preserve"> , Sen. John Marty, Matt </w:t>
      </w:r>
      <w:proofErr w:type="spellStart"/>
      <w:r w:rsidRPr="00C01B55">
        <w:t>Prorok</w:t>
      </w:r>
      <w:proofErr w:type="spellEnd"/>
      <w:r w:rsidRPr="00C01B55">
        <w:t xml:space="preserve"> (Legislative Energy Commission), Rick Carter (LHB), </w:t>
      </w:r>
      <w:proofErr w:type="spellStart"/>
      <w:r w:rsidRPr="00C01B55">
        <w:t>Roopali</w:t>
      </w:r>
      <w:proofErr w:type="spellEnd"/>
      <w:r w:rsidRPr="00C01B55">
        <w:t xml:space="preserve"> </w:t>
      </w:r>
      <w:proofErr w:type="spellStart"/>
      <w:r w:rsidRPr="00C01B55">
        <w:t>Phadke</w:t>
      </w:r>
      <w:proofErr w:type="spellEnd"/>
      <w:r w:rsidRPr="00C01B55">
        <w:t xml:space="preserve"> (Macalester College), Chuck </w:t>
      </w:r>
      <w:proofErr w:type="spellStart"/>
      <w:r w:rsidRPr="00C01B55">
        <w:t>Wurzinger</w:t>
      </w:r>
      <w:proofErr w:type="spellEnd"/>
      <w:r w:rsidRPr="00C01B55">
        <w:t xml:space="preserve"> (Metro Transit), Lisa Barajas, Sara Smith, Jason Willett (Metropolitan Council), Dan King (Midwest Renewable Energy Tracking System), Thor </w:t>
      </w:r>
      <w:proofErr w:type="spellStart"/>
      <w:r w:rsidRPr="00C01B55">
        <w:t>Underdahl</w:t>
      </w:r>
      <w:proofErr w:type="spellEnd"/>
      <w:r w:rsidRPr="00C01B55">
        <w:t xml:space="preserve"> (Minnesota Power), Tim Sexton, Philip </w:t>
      </w:r>
      <w:proofErr w:type="spellStart"/>
      <w:r w:rsidRPr="00C01B55">
        <w:t>Shaffner</w:t>
      </w:r>
      <w:proofErr w:type="spellEnd"/>
      <w:r w:rsidRPr="00C01B55">
        <w:t xml:space="preserve"> (MN Dept. of Transportation), Kevin Hennessey, Bob Patton, Anna Sherman (MN Dept. of Agriculture), Lisa Hughes (MN Dept. of Employment and Economic Development), Jessica Burdette, Bill Grant, Michelle Gransee, Janet Streff (MN Dept. of Commerce), Anna Dirkswager, Mark Lindquist (MN Dept. of Natural Resources), Anna Henderson, John </w:t>
      </w:r>
      <w:proofErr w:type="spellStart"/>
      <w:r w:rsidRPr="00C01B55">
        <w:t>Saxhaug</w:t>
      </w:r>
      <w:proofErr w:type="spellEnd"/>
      <w:r w:rsidRPr="00C01B55">
        <w:t xml:space="preserve">, Will Seuffert (MN Environmental Quality Board), Bill Black, Amanda </w:t>
      </w:r>
      <w:proofErr w:type="spellStart"/>
      <w:r w:rsidRPr="00C01B55">
        <w:t>Duerr</w:t>
      </w:r>
      <w:proofErr w:type="spellEnd"/>
      <w:r w:rsidRPr="00C01B55">
        <w:t xml:space="preserve"> (MN Municipal Utilities Association), Anne Claflin, Frank Kohlasch, Tim Nolan, David Thornton (MN Pollution Control Agency), Andrew Bahn, Chris Villarreal (MN </w:t>
      </w:r>
      <w:r w:rsidRPr="00C01B55">
        <w:lastRenderedPageBreak/>
        <w:t xml:space="preserve">Public Utilities Commission), Rolf </w:t>
      </w:r>
      <w:proofErr w:type="spellStart"/>
      <w:r w:rsidRPr="00C01B55">
        <w:t>Weberg</w:t>
      </w:r>
      <w:proofErr w:type="spellEnd"/>
      <w:r w:rsidRPr="00C01B55">
        <w:t xml:space="preserve"> (Natural Resources Research Institute), Barb Jacobs, Hannah </w:t>
      </w:r>
      <w:proofErr w:type="spellStart"/>
      <w:r w:rsidRPr="00C01B55">
        <w:t>Pallmeyer</w:t>
      </w:r>
      <w:proofErr w:type="spellEnd"/>
      <w:r w:rsidRPr="00C01B55">
        <w:t xml:space="preserve"> (Sen. John Marty’s Office), Sarah Russell (Target), Sarah </w:t>
      </w:r>
      <w:proofErr w:type="spellStart"/>
      <w:r w:rsidRPr="00C01B55">
        <w:t>Zaleski</w:t>
      </w:r>
      <w:proofErr w:type="spellEnd"/>
      <w:r w:rsidRPr="00C01B55">
        <w:t xml:space="preserve"> (US DOE), Erin </w:t>
      </w:r>
      <w:proofErr w:type="spellStart"/>
      <w:r w:rsidRPr="00C01B55">
        <w:t>Heitkamp</w:t>
      </w:r>
      <w:proofErr w:type="spellEnd"/>
      <w:r w:rsidRPr="00C01B55">
        <w:t xml:space="preserve"> (</w:t>
      </w:r>
      <w:proofErr w:type="spellStart"/>
      <w:r w:rsidRPr="00C01B55">
        <w:t>Wenck</w:t>
      </w:r>
      <w:proofErr w:type="spellEnd"/>
      <w:r w:rsidRPr="00C01B55">
        <w:t xml:space="preserve"> As</w:t>
      </w:r>
      <w:r>
        <w:t>sociates)</w:t>
      </w:r>
      <w:r w:rsidR="00D30012" w:rsidRPr="00F041AD">
        <w:rPr>
          <w:color w:val="333333" w:themeColor="background1"/>
        </w:rPr>
        <w:t>.</w:t>
      </w:r>
    </w:p>
    <w:p w14:paraId="2FE5DBEB" w14:textId="77777777" w:rsidR="00BD44A2" w:rsidRPr="00F041AD" w:rsidRDefault="00BD44A2" w:rsidP="00ED21EA">
      <w:pPr>
        <w:pStyle w:val="5BodyText"/>
        <w:rPr>
          <w:color w:val="333333" w:themeColor="background1"/>
        </w:rPr>
      </w:pPr>
    </w:p>
    <w:p w14:paraId="4C6CFF3B" w14:textId="77777777" w:rsidR="002A1AEF" w:rsidRPr="00F041AD" w:rsidRDefault="002A1AEF" w:rsidP="007F3F44">
      <w:pPr>
        <w:pStyle w:val="6BodyHighlight"/>
        <w:rPr>
          <w:color w:val="333333" w:themeColor="background1"/>
        </w:rPr>
      </w:pPr>
      <w:bookmarkStart w:id="8" w:name="_Toc322961576"/>
      <w:r w:rsidRPr="00F041AD">
        <w:rPr>
          <w:color w:val="333333" w:themeColor="background1"/>
        </w:rPr>
        <w:t>Disclaimer:</w:t>
      </w:r>
      <w:bookmarkEnd w:id="8"/>
    </w:p>
    <w:p w14:paraId="20329007" w14:textId="463729A9" w:rsidR="00BD44A2" w:rsidRPr="00F041AD" w:rsidRDefault="002A1AEF" w:rsidP="00ED21EA">
      <w:pPr>
        <w:pStyle w:val="5BodyText"/>
        <w:rPr>
          <w:color w:val="333333" w:themeColor="background1"/>
        </w:rPr>
      </w:pPr>
      <w:r w:rsidRPr="00F041AD">
        <w:rPr>
          <w:color w:val="333333" w:themeColor="background1"/>
        </w:rPr>
        <w:t>The information, data, or work presented herein was funded in part by an agency of the United States Government. Neither the United States Government nor any agency thereof, nor any of their employees, makes any warranty, express or implied, or assumes any legal liability or responsibility for the accuracy, completeness, or usefulness of any information, apparatus, product, or process disclosed, or represents that its use would not infringe privately owned rights. Reference herein to any specific commercial product, process, or service by trade name, trademark, manufacturer, or otherwise does not necessarily constitute or imply its endorsement, recommendation, or favoring by the United States Government or any agency thereof. The views and opinions of authors expressed herein do not necessarily state or reflect those of the United States Government or any agency thereof, the State of Minnesota or any agency thereof, or the stakeholders who contributed to the report.</w:t>
      </w:r>
    </w:p>
    <w:p w14:paraId="4D4600A0" w14:textId="1192D7DD" w:rsidR="00734553" w:rsidRPr="00F041AD" w:rsidRDefault="00734553">
      <w:pPr>
        <w:rPr>
          <w:color w:val="333333" w:themeColor="background1"/>
          <w:sz w:val="20"/>
        </w:rPr>
      </w:pPr>
      <w:r w:rsidRPr="00F041AD">
        <w:rPr>
          <w:color w:val="333333" w:themeColor="background1"/>
        </w:rPr>
        <w:br w:type="page"/>
      </w:r>
    </w:p>
    <w:p w14:paraId="44A49BE7" w14:textId="47EE0BAC" w:rsidR="006A49B2" w:rsidRDefault="00BA0C7A" w:rsidP="006A49B2">
      <w:pPr>
        <w:pStyle w:val="3SectionTitle"/>
        <w:rPr>
          <w:rFonts w:asciiTheme="majorHAnsi" w:hAnsiTheme="majorHAnsi"/>
          <w:b/>
          <w:color w:val="333333" w:themeColor="background1"/>
          <w:sz w:val="22"/>
        </w:rPr>
      </w:pPr>
      <w:bookmarkStart w:id="9" w:name="_Toc322961577"/>
      <w:bookmarkStart w:id="10" w:name="_Toc322962023"/>
      <w:bookmarkStart w:id="11" w:name="_Toc322962210"/>
      <w:r w:rsidRPr="00F041AD">
        <w:rPr>
          <w:color w:val="333333" w:themeColor="background1"/>
        </w:rPr>
        <w:lastRenderedPageBreak/>
        <w:t>Table of contents</w:t>
      </w:r>
      <w:bookmarkStart w:id="12" w:name="_Toc322933796"/>
      <w:bookmarkStart w:id="13" w:name="_Toc322961578"/>
      <w:bookmarkEnd w:id="9"/>
      <w:bookmarkEnd w:id="10"/>
      <w:bookmarkEnd w:id="11"/>
    </w:p>
    <w:p w14:paraId="4A11C857" w14:textId="77777777" w:rsidR="006A49B2" w:rsidRPr="006A49B2" w:rsidRDefault="006A49B2">
      <w:pPr>
        <w:pStyle w:val="TOC1"/>
        <w:tabs>
          <w:tab w:val="right" w:leader="dot" w:pos="10070"/>
        </w:tabs>
        <w:rPr>
          <w:rFonts w:asciiTheme="majorHAnsi" w:hAnsiTheme="majorHAnsi"/>
          <w:b w:val="0"/>
          <w:caps w:val="0"/>
          <w:noProof/>
          <w:color w:val="auto"/>
          <w:sz w:val="20"/>
          <w:szCs w:val="20"/>
        </w:rPr>
      </w:pPr>
      <w:r>
        <w:rPr>
          <w:i/>
          <w:sz w:val="20"/>
          <w:szCs w:val="20"/>
        </w:rPr>
        <w:fldChar w:fldCharType="begin"/>
      </w:r>
      <w:r>
        <w:rPr>
          <w:i/>
          <w:sz w:val="20"/>
          <w:szCs w:val="20"/>
        </w:rPr>
        <w:instrText xml:space="preserve"> TOC \o "1-3" \t "3.SectionTitle,1,StrategyName,2" </w:instrText>
      </w:r>
      <w:r>
        <w:rPr>
          <w:i/>
          <w:sz w:val="20"/>
          <w:szCs w:val="20"/>
        </w:rPr>
        <w:fldChar w:fldCharType="separate"/>
      </w:r>
      <w:r w:rsidRPr="006A49B2">
        <w:rPr>
          <w:rFonts w:asciiTheme="majorHAnsi" w:hAnsiTheme="majorHAnsi"/>
          <w:noProof/>
          <w:color w:val="333333" w:themeColor="background1"/>
          <w:sz w:val="20"/>
          <w:szCs w:val="20"/>
        </w:rPr>
        <w:t>Acknowledgements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_Toc322962209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2</w:t>
      </w:r>
      <w:r w:rsidRPr="006A49B2">
        <w:rPr>
          <w:rFonts w:asciiTheme="majorHAnsi" w:hAnsiTheme="majorHAnsi"/>
          <w:noProof/>
          <w:sz w:val="20"/>
          <w:szCs w:val="20"/>
        </w:rPr>
        <w:fldChar w:fldCharType="end"/>
      </w:r>
    </w:p>
    <w:p w14:paraId="4A42F831" w14:textId="4388568B"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Glossary of Terms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_Toc322962211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7</w:t>
      </w:r>
      <w:r w:rsidRPr="006A49B2">
        <w:rPr>
          <w:rFonts w:asciiTheme="majorHAnsi" w:hAnsiTheme="majorHAnsi"/>
          <w:noProof/>
          <w:sz w:val="20"/>
          <w:szCs w:val="20"/>
        </w:rPr>
        <w:fldChar w:fldCharType="end"/>
      </w:r>
    </w:p>
    <w:p w14:paraId="06384AB1" w14:textId="10BB405E"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Acronyms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_Toc322962212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8</w:t>
      </w:r>
      <w:r w:rsidRPr="006A49B2">
        <w:rPr>
          <w:rFonts w:asciiTheme="majorHAnsi" w:hAnsiTheme="majorHAnsi"/>
          <w:noProof/>
          <w:sz w:val="20"/>
          <w:szCs w:val="20"/>
        </w:rPr>
        <w:fldChar w:fldCharType="end"/>
      </w:r>
    </w:p>
    <w:p w14:paraId="38962871" w14:textId="7AA105CD"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List of figures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_Toc322962213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8</w:t>
      </w:r>
      <w:r w:rsidRPr="006A49B2">
        <w:rPr>
          <w:rFonts w:asciiTheme="majorHAnsi" w:hAnsiTheme="majorHAnsi"/>
          <w:noProof/>
          <w:sz w:val="20"/>
          <w:szCs w:val="20"/>
        </w:rPr>
        <w:fldChar w:fldCharType="end"/>
      </w:r>
    </w:p>
    <w:p w14:paraId="739A3D1B" w14:textId="0E687765"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1. Executive Summary</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_Toc322962214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10</w:t>
      </w:r>
      <w:r w:rsidRPr="006A49B2">
        <w:rPr>
          <w:rFonts w:asciiTheme="majorHAnsi" w:hAnsiTheme="majorHAnsi"/>
          <w:noProof/>
          <w:sz w:val="20"/>
          <w:szCs w:val="20"/>
        </w:rPr>
        <w:fldChar w:fldCharType="end"/>
      </w:r>
    </w:p>
    <w:p w14:paraId="7F272EA3" w14:textId="58B92326"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2. Introduction</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_Toc322962215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19</w:t>
      </w:r>
      <w:r w:rsidRPr="006A49B2">
        <w:rPr>
          <w:rFonts w:asciiTheme="majorHAnsi" w:hAnsiTheme="majorHAnsi"/>
          <w:noProof/>
          <w:sz w:val="20"/>
          <w:szCs w:val="20"/>
        </w:rPr>
        <w:fldChar w:fldCharType="end"/>
      </w:r>
    </w:p>
    <w:p w14:paraId="1D3530E8" w14:textId="51865141"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3. Minnesota’s Energy Landscape</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_Toc322962216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22</w:t>
      </w:r>
      <w:r w:rsidRPr="006A49B2">
        <w:rPr>
          <w:rFonts w:asciiTheme="majorHAnsi" w:hAnsiTheme="majorHAnsi"/>
          <w:noProof/>
          <w:sz w:val="20"/>
          <w:szCs w:val="20"/>
        </w:rPr>
        <w:fldChar w:fldCharType="end"/>
      </w:r>
    </w:p>
    <w:p w14:paraId="1CA1FA57" w14:textId="28E80C65"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4. Stakeholder identified strategies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_Toc322962217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48</w:t>
      </w:r>
      <w:r w:rsidRPr="006A49B2">
        <w:rPr>
          <w:rFonts w:asciiTheme="majorHAnsi" w:hAnsiTheme="majorHAnsi"/>
          <w:noProof/>
          <w:sz w:val="20"/>
          <w:szCs w:val="20"/>
        </w:rPr>
        <w:fldChar w:fldCharType="end"/>
      </w:r>
    </w:p>
    <w:p w14:paraId="0D0DAF14" w14:textId="69305A1A"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A. Transportation</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_Toc322962218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48</w:t>
      </w:r>
      <w:r w:rsidRPr="006A49B2">
        <w:rPr>
          <w:rFonts w:asciiTheme="majorHAnsi" w:hAnsiTheme="majorHAnsi"/>
          <w:noProof/>
          <w:sz w:val="20"/>
          <w:szCs w:val="20"/>
        </w:rPr>
        <w:fldChar w:fldCharType="end"/>
      </w:r>
    </w:p>
    <w:p w14:paraId="61025314" w14:textId="7EFD885C"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A1. Increase adoption of personal electric vehicles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_Toc322962219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52</w:t>
      </w:r>
      <w:r w:rsidRPr="006A49B2">
        <w:rPr>
          <w:rFonts w:asciiTheme="majorHAnsi" w:hAnsiTheme="majorHAnsi"/>
          <w:noProof/>
          <w:sz w:val="20"/>
          <w:szCs w:val="20"/>
        </w:rPr>
        <w:fldChar w:fldCharType="end"/>
      </w:r>
    </w:p>
    <w:p w14:paraId="313A04AD" w14:textId="5F65275B"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A2. Electrify fleet vehicles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_Toc322962220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55</w:t>
      </w:r>
      <w:r w:rsidRPr="006A49B2">
        <w:rPr>
          <w:rFonts w:asciiTheme="majorHAnsi" w:hAnsiTheme="majorHAnsi"/>
          <w:noProof/>
          <w:sz w:val="20"/>
          <w:szCs w:val="20"/>
        </w:rPr>
        <w:fldChar w:fldCharType="end"/>
      </w:r>
    </w:p>
    <w:p w14:paraId="19D23598" w14:textId="46A3CA84"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A3. Electrify buses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_Toc322962221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59</w:t>
      </w:r>
      <w:r w:rsidRPr="006A49B2">
        <w:rPr>
          <w:rFonts w:asciiTheme="majorHAnsi" w:hAnsiTheme="majorHAnsi"/>
          <w:noProof/>
          <w:sz w:val="20"/>
          <w:szCs w:val="20"/>
        </w:rPr>
        <w:fldChar w:fldCharType="end"/>
      </w:r>
    </w:p>
    <w:p w14:paraId="305ECC68" w14:textId="149CF87B"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A4. Increase adoption of alternative-fuel heavy-duty vehicles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_Toc322962222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61</w:t>
      </w:r>
      <w:r w:rsidRPr="006A49B2">
        <w:rPr>
          <w:rFonts w:asciiTheme="majorHAnsi" w:hAnsiTheme="majorHAnsi"/>
          <w:noProof/>
          <w:sz w:val="20"/>
          <w:szCs w:val="20"/>
        </w:rPr>
        <w:fldChar w:fldCharType="end"/>
      </w:r>
    </w:p>
    <w:p w14:paraId="3FD4707F" w14:textId="64F547F2"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B. Energy supply and grid modernization</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_Toc322962223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66</w:t>
      </w:r>
      <w:r w:rsidRPr="006A49B2">
        <w:rPr>
          <w:rFonts w:asciiTheme="majorHAnsi" w:hAnsiTheme="majorHAnsi"/>
          <w:noProof/>
          <w:sz w:val="20"/>
          <w:szCs w:val="20"/>
        </w:rPr>
        <w:fldChar w:fldCharType="end"/>
      </w:r>
    </w:p>
    <w:p w14:paraId="53EC9340" w14:textId="30D5F0C6"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B1: Deploy advanced metering infrastructure (AMI)</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_Toc322962224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69</w:t>
      </w:r>
      <w:r w:rsidRPr="006A49B2">
        <w:rPr>
          <w:rFonts w:asciiTheme="majorHAnsi" w:hAnsiTheme="majorHAnsi"/>
          <w:noProof/>
          <w:sz w:val="20"/>
          <w:szCs w:val="20"/>
        </w:rPr>
        <w:fldChar w:fldCharType="end"/>
      </w:r>
    </w:p>
    <w:p w14:paraId="35D9D34B" w14:textId="1A8297F3"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B2: Enable smart inverter functionality</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_Toc322962225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74</w:t>
      </w:r>
      <w:r w:rsidRPr="006A49B2">
        <w:rPr>
          <w:rFonts w:asciiTheme="majorHAnsi" w:hAnsiTheme="majorHAnsi"/>
          <w:noProof/>
          <w:sz w:val="20"/>
          <w:szCs w:val="20"/>
        </w:rPr>
        <w:fldChar w:fldCharType="end"/>
      </w:r>
    </w:p>
    <w:p w14:paraId="008BC44F" w14:textId="1F0C0BB6"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B3: Integrate energy storage and demand response</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_Toc322962226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77</w:t>
      </w:r>
      <w:r w:rsidRPr="006A49B2">
        <w:rPr>
          <w:rFonts w:asciiTheme="majorHAnsi" w:hAnsiTheme="majorHAnsi"/>
          <w:noProof/>
          <w:sz w:val="20"/>
          <w:szCs w:val="20"/>
        </w:rPr>
        <w:fldChar w:fldCharType="end"/>
      </w:r>
    </w:p>
    <w:p w14:paraId="0CF6B8EF" w14:textId="2C2A1511"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B4: Adopt time-based rates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_Toc322962227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81</w:t>
      </w:r>
      <w:r w:rsidRPr="006A49B2">
        <w:rPr>
          <w:rFonts w:asciiTheme="majorHAnsi" w:hAnsiTheme="majorHAnsi"/>
          <w:noProof/>
          <w:sz w:val="20"/>
          <w:szCs w:val="20"/>
        </w:rPr>
        <w:fldChar w:fldCharType="end"/>
      </w:r>
    </w:p>
    <w:p w14:paraId="70215F12" w14:textId="6576FFBF"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B5. Expand and improve utility green energy options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_Toc322962228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84</w:t>
      </w:r>
      <w:r w:rsidRPr="006A49B2">
        <w:rPr>
          <w:rFonts w:asciiTheme="majorHAnsi" w:hAnsiTheme="majorHAnsi"/>
          <w:noProof/>
          <w:sz w:val="20"/>
          <w:szCs w:val="20"/>
        </w:rPr>
        <w:fldChar w:fldCharType="end"/>
      </w:r>
    </w:p>
    <w:p w14:paraId="4B492E5C" w14:textId="213E22AC"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C. Efficient buildings and integrated energy systems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_Toc322962229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91</w:t>
      </w:r>
      <w:r w:rsidRPr="006A49B2">
        <w:rPr>
          <w:rFonts w:asciiTheme="majorHAnsi" w:hAnsiTheme="majorHAnsi"/>
          <w:noProof/>
          <w:sz w:val="20"/>
          <w:szCs w:val="20"/>
        </w:rPr>
        <w:fldChar w:fldCharType="end"/>
      </w:r>
    </w:p>
    <w:p w14:paraId="5184688C" w14:textId="67C4E39E"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C1. Adopt SB2030 as an optional stretch code</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_Toc322962230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95</w:t>
      </w:r>
      <w:r w:rsidRPr="006A49B2">
        <w:rPr>
          <w:rFonts w:asciiTheme="majorHAnsi" w:hAnsiTheme="majorHAnsi"/>
          <w:noProof/>
          <w:sz w:val="20"/>
          <w:szCs w:val="20"/>
        </w:rPr>
        <w:fldChar w:fldCharType="end"/>
      </w:r>
    </w:p>
    <w:p w14:paraId="5FAB96A1" w14:textId="075D1B04"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C2. Enhance energy data access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_Toc322962231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99</w:t>
      </w:r>
      <w:r w:rsidRPr="006A49B2">
        <w:rPr>
          <w:rFonts w:asciiTheme="majorHAnsi" w:hAnsiTheme="majorHAnsi"/>
          <w:noProof/>
          <w:sz w:val="20"/>
          <w:szCs w:val="20"/>
        </w:rPr>
        <w:fldChar w:fldCharType="end"/>
      </w:r>
    </w:p>
    <w:p w14:paraId="54BE7B2C" w14:textId="19E20A2C"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C3. Increase adoption of commercial building energy benchmarking and disclosure programs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_Toc322962232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103</w:t>
      </w:r>
      <w:r w:rsidRPr="006A49B2">
        <w:rPr>
          <w:rFonts w:asciiTheme="majorHAnsi" w:hAnsiTheme="majorHAnsi"/>
          <w:noProof/>
          <w:sz w:val="20"/>
          <w:szCs w:val="20"/>
        </w:rPr>
        <w:fldChar w:fldCharType="end"/>
      </w:r>
    </w:p>
    <w:p w14:paraId="2A883B46" w14:textId="0FAD09C9"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C4. Improve building operations to capture energy efficiency opportunities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_Toc322962233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107</w:t>
      </w:r>
      <w:r w:rsidRPr="006A49B2">
        <w:rPr>
          <w:rFonts w:asciiTheme="majorHAnsi" w:hAnsiTheme="majorHAnsi"/>
          <w:noProof/>
          <w:sz w:val="20"/>
          <w:szCs w:val="20"/>
        </w:rPr>
        <w:fldChar w:fldCharType="end"/>
      </w:r>
    </w:p>
    <w:p w14:paraId="4756C2AC" w14:textId="7C5D28A7"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C5. Promote behavioral energy efficiency strategies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_Toc322962234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110</w:t>
      </w:r>
      <w:r w:rsidRPr="006A49B2">
        <w:rPr>
          <w:rFonts w:asciiTheme="majorHAnsi" w:hAnsiTheme="majorHAnsi"/>
          <w:noProof/>
          <w:sz w:val="20"/>
          <w:szCs w:val="20"/>
        </w:rPr>
        <w:fldChar w:fldCharType="end"/>
      </w:r>
    </w:p>
    <w:p w14:paraId="66771CF2" w14:textId="1CED7732"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C6. Identify opportunities for thermal energy grids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_Toc322962235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113</w:t>
      </w:r>
      <w:r w:rsidRPr="006A49B2">
        <w:rPr>
          <w:rFonts w:asciiTheme="majorHAnsi" w:hAnsiTheme="majorHAnsi"/>
          <w:noProof/>
          <w:sz w:val="20"/>
          <w:szCs w:val="20"/>
        </w:rPr>
        <w:fldChar w:fldCharType="end"/>
      </w:r>
    </w:p>
    <w:p w14:paraId="029E4F4D" w14:textId="5D027BA0"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C7. Support combined heat and power (CHP)</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_Toc322962236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118</w:t>
      </w:r>
      <w:r w:rsidRPr="006A49B2">
        <w:rPr>
          <w:rFonts w:asciiTheme="majorHAnsi" w:hAnsiTheme="majorHAnsi"/>
          <w:noProof/>
          <w:sz w:val="20"/>
          <w:szCs w:val="20"/>
        </w:rPr>
        <w:fldChar w:fldCharType="end"/>
      </w:r>
    </w:p>
    <w:p w14:paraId="0E54F938" w14:textId="434D8763"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D: Industrial and Agricultural sectors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_Toc322962237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127</w:t>
      </w:r>
      <w:r w:rsidRPr="006A49B2">
        <w:rPr>
          <w:rFonts w:asciiTheme="majorHAnsi" w:hAnsiTheme="majorHAnsi"/>
          <w:noProof/>
          <w:sz w:val="20"/>
          <w:szCs w:val="20"/>
        </w:rPr>
        <w:fldChar w:fldCharType="end"/>
      </w:r>
    </w:p>
    <w:p w14:paraId="6CE98E51" w14:textId="104FA7C6"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D1. Commercialize advanced biofuels and biobased chemicals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_Toc322962238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131</w:t>
      </w:r>
      <w:r w:rsidRPr="006A49B2">
        <w:rPr>
          <w:rFonts w:asciiTheme="majorHAnsi" w:hAnsiTheme="majorHAnsi"/>
          <w:noProof/>
          <w:sz w:val="20"/>
          <w:szCs w:val="20"/>
        </w:rPr>
        <w:fldChar w:fldCharType="end"/>
      </w:r>
    </w:p>
    <w:p w14:paraId="5705BA60" w14:textId="5AE4235B"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D2. Capture organic feedstocks through anaerobic digestion</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_Toc322962239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136</w:t>
      </w:r>
      <w:r w:rsidRPr="006A49B2">
        <w:rPr>
          <w:rFonts w:asciiTheme="majorHAnsi" w:hAnsiTheme="majorHAnsi"/>
          <w:noProof/>
          <w:sz w:val="20"/>
          <w:szCs w:val="20"/>
        </w:rPr>
        <w:fldChar w:fldCharType="end"/>
      </w:r>
    </w:p>
    <w:p w14:paraId="11CBE5F2" w14:textId="7D2D3E62"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 xml:space="preserve">D3. Promote industrial </w:t>
      </w:r>
      <w:r w:rsidR="004F6D8A">
        <w:rPr>
          <w:rFonts w:asciiTheme="majorHAnsi" w:hAnsiTheme="majorHAnsi"/>
          <w:noProof/>
          <w:sz w:val="20"/>
          <w:szCs w:val="20"/>
        </w:rPr>
        <w:t xml:space="preserve">and Agricultural </w:t>
      </w:r>
      <w:r w:rsidRPr="006A49B2">
        <w:rPr>
          <w:rFonts w:asciiTheme="majorHAnsi" w:hAnsiTheme="majorHAnsi"/>
          <w:noProof/>
          <w:sz w:val="20"/>
          <w:szCs w:val="20"/>
        </w:rPr>
        <w:t>efficiency practices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_Toc322962240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139</w:t>
      </w:r>
      <w:r w:rsidRPr="006A49B2">
        <w:rPr>
          <w:rFonts w:asciiTheme="majorHAnsi" w:hAnsiTheme="majorHAnsi"/>
          <w:noProof/>
          <w:sz w:val="20"/>
          <w:szCs w:val="20"/>
        </w:rPr>
        <w:fldChar w:fldCharType="end"/>
      </w:r>
    </w:p>
    <w:p w14:paraId="56412C0F" w14:textId="4BBF3E1F"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lastRenderedPageBreak/>
        <w:t>D4. Coordinate and promote the clean energy industry</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_Toc322962241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144</w:t>
      </w:r>
      <w:r w:rsidRPr="006A49B2">
        <w:rPr>
          <w:rFonts w:asciiTheme="majorHAnsi" w:hAnsiTheme="majorHAnsi"/>
          <w:noProof/>
          <w:sz w:val="20"/>
          <w:szCs w:val="20"/>
        </w:rPr>
        <w:fldChar w:fldCharType="end"/>
      </w:r>
    </w:p>
    <w:p w14:paraId="1D442FAA" w14:textId="02BF0328"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E. Local Planning and Action</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_Toc322962242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150</w:t>
      </w:r>
      <w:r w:rsidRPr="006A49B2">
        <w:rPr>
          <w:rFonts w:asciiTheme="majorHAnsi" w:hAnsiTheme="majorHAnsi"/>
          <w:noProof/>
          <w:sz w:val="20"/>
          <w:szCs w:val="20"/>
        </w:rPr>
        <w:fldChar w:fldCharType="end"/>
      </w:r>
    </w:p>
    <w:p w14:paraId="5BE55C08" w14:textId="74E8CB7A"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E1. Advance local energy planning</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_Toc322962243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151</w:t>
      </w:r>
      <w:r w:rsidRPr="006A49B2">
        <w:rPr>
          <w:rFonts w:asciiTheme="majorHAnsi" w:hAnsiTheme="majorHAnsi"/>
          <w:noProof/>
          <w:sz w:val="20"/>
          <w:szCs w:val="20"/>
        </w:rPr>
        <w:fldChar w:fldCharType="end"/>
      </w:r>
    </w:p>
    <w:p w14:paraId="09087F7E" w14:textId="21D2FF23" w:rsidR="006A49B2" w:rsidRPr="006A49B2" w:rsidRDefault="006A49B2">
      <w:pPr>
        <w:pStyle w:val="TOC2"/>
        <w:tabs>
          <w:tab w:val="right" w:leader="dot" w:pos="10070"/>
        </w:tabs>
        <w:rPr>
          <w:rFonts w:asciiTheme="majorHAnsi" w:hAnsiTheme="majorHAnsi"/>
          <w:smallCaps w:val="0"/>
          <w:noProof/>
          <w:color w:val="auto"/>
          <w:sz w:val="20"/>
          <w:szCs w:val="20"/>
        </w:rPr>
      </w:pPr>
      <w:r w:rsidRPr="006A49B2">
        <w:rPr>
          <w:rFonts w:asciiTheme="majorHAnsi" w:hAnsiTheme="majorHAnsi"/>
          <w:noProof/>
          <w:sz w:val="20"/>
          <w:szCs w:val="20"/>
        </w:rPr>
        <w:t>E2. Pursue near-term actions at the local level</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_Toc322962244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158</w:t>
      </w:r>
      <w:r w:rsidRPr="006A49B2">
        <w:rPr>
          <w:rFonts w:asciiTheme="majorHAnsi" w:hAnsiTheme="majorHAnsi"/>
          <w:noProof/>
          <w:sz w:val="20"/>
          <w:szCs w:val="20"/>
        </w:rPr>
        <w:fldChar w:fldCharType="end"/>
      </w:r>
    </w:p>
    <w:p w14:paraId="260FBD6C" w14:textId="369296D7"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5. Additional opportunities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_Toc322962245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164</w:t>
      </w:r>
      <w:r w:rsidRPr="006A49B2">
        <w:rPr>
          <w:rFonts w:asciiTheme="majorHAnsi" w:hAnsiTheme="majorHAnsi"/>
          <w:noProof/>
          <w:sz w:val="20"/>
          <w:szCs w:val="20"/>
        </w:rPr>
        <w:fldChar w:fldCharType="end"/>
      </w:r>
    </w:p>
    <w:p w14:paraId="44E29800" w14:textId="30B187A1" w:rsidR="006A49B2" w:rsidRPr="006A49B2" w:rsidRDefault="006A49B2">
      <w:pPr>
        <w:pStyle w:val="TOC1"/>
        <w:tabs>
          <w:tab w:val="right" w:leader="dot" w:pos="10070"/>
        </w:tabs>
        <w:rPr>
          <w:rFonts w:asciiTheme="majorHAnsi" w:hAnsiTheme="majorHAnsi"/>
          <w:b w:val="0"/>
          <w:caps w:val="0"/>
          <w:noProof/>
          <w:color w:val="auto"/>
          <w:sz w:val="20"/>
          <w:szCs w:val="20"/>
        </w:rPr>
      </w:pPr>
      <w:r w:rsidRPr="006A49B2">
        <w:rPr>
          <w:rFonts w:asciiTheme="majorHAnsi" w:hAnsiTheme="majorHAnsi"/>
          <w:noProof/>
          <w:color w:val="333333" w:themeColor="background1"/>
          <w:sz w:val="20"/>
          <w:szCs w:val="20"/>
        </w:rPr>
        <w:t>6. Conclusions</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_Toc322962246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166</w:t>
      </w:r>
      <w:r w:rsidRPr="006A49B2">
        <w:rPr>
          <w:rFonts w:asciiTheme="majorHAnsi" w:hAnsiTheme="majorHAnsi"/>
          <w:noProof/>
          <w:sz w:val="20"/>
          <w:szCs w:val="20"/>
        </w:rPr>
        <w:fldChar w:fldCharType="end"/>
      </w:r>
    </w:p>
    <w:p w14:paraId="43EE0194" w14:textId="25ACF6F1" w:rsidR="006A49B2" w:rsidRDefault="006A49B2">
      <w:pPr>
        <w:pStyle w:val="TOC1"/>
        <w:tabs>
          <w:tab w:val="right" w:leader="dot" w:pos="10070"/>
        </w:tabs>
        <w:rPr>
          <w:b w:val="0"/>
          <w:caps w:val="0"/>
          <w:noProof/>
          <w:color w:val="auto"/>
          <w:sz w:val="24"/>
          <w:szCs w:val="24"/>
        </w:rPr>
      </w:pPr>
      <w:r w:rsidRPr="006A49B2">
        <w:rPr>
          <w:rFonts w:asciiTheme="majorHAnsi" w:hAnsiTheme="majorHAnsi"/>
          <w:noProof/>
          <w:color w:val="333333" w:themeColor="background1"/>
          <w:sz w:val="20"/>
          <w:szCs w:val="20"/>
        </w:rPr>
        <w:t>Appendix A</w:t>
      </w:r>
      <w:r w:rsidRPr="006A49B2">
        <w:rPr>
          <w:rFonts w:asciiTheme="majorHAnsi" w:hAnsiTheme="majorHAnsi"/>
          <w:noProof/>
          <w:sz w:val="20"/>
          <w:szCs w:val="20"/>
        </w:rPr>
        <w:tab/>
      </w:r>
      <w:r w:rsidRPr="006A49B2">
        <w:rPr>
          <w:rFonts w:asciiTheme="majorHAnsi" w:hAnsiTheme="majorHAnsi"/>
          <w:noProof/>
          <w:sz w:val="20"/>
          <w:szCs w:val="20"/>
        </w:rPr>
        <w:fldChar w:fldCharType="begin"/>
      </w:r>
      <w:r w:rsidRPr="006A49B2">
        <w:rPr>
          <w:rFonts w:asciiTheme="majorHAnsi" w:hAnsiTheme="majorHAnsi"/>
          <w:noProof/>
          <w:sz w:val="20"/>
          <w:szCs w:val="20"/>
        </w:rPr>
        <w:instrText xml:space="preserve"> PAGEREF _Toc322962247 \h </w:instrText>
      </w:r>
      <w:r w:rsidRPr="006A49B2">
        <w:rPr>
          <w:rFonts w:asciiTheme="majorHAnsi" w:hAnsiTheme="majorHAnsi"/>
          <w:noProof/>
          <w:sz w:val="20"/>
          <w:szCs w:val="20"/>
        </w:rPr>
      </w:r>
      <w:r w:rsidRPr="006A49B2">
        <w:rPr>
          <w:rFonts w:asciiTheme="majorHAnsi" w:hAnsiTheme="majorHAnsi"/>
          <w:noProof/>
          <w:sz w:val="20"/>
          <w:szCs w:val="20"/>
        </w:rPr>
        <w:fldChar w:fldCharType="separate"/>
      </w:r>
      <w:r w:rsidR="001F63F9">
        <w:rPr>
          <w:rFonts w:asciiTheme="majorHAnsi" w:hAnsiTheme="majorHAnsi"/>
          <w:noProof/>
          <w:sz w:val="20"/>
          <w:szCs w:val="20"/>
        </w:rPr>
        <w:t>167</w:t>
      </w:r>
      <w:r w:rsidRPr="006A49B2">
        <w:rPr>
          <w:rFonts w:asciiTheme="majorHAnsi" w:hAnsiTheme="majorHAnsi"/>
          <w:noProof/>
          <w:sz w:val="20"/>
          <w:szCs w:val="20"/>
        </w:rPr>
        <w:fldChar w:fldCharType="end"/>
      </w:r>
    </w:p>
    <w:p w14:paraId="12429716" w14:textId="77777777" w:rsidR="006A49B2" w:rsidRPr="006A49B2" w:rsidRDefault="006A49B2" w:rsidP="006A49B2">
      <w:pPr>
        <w:pStyle w:val="TOC3"/>
        <w:ind w:left="0"/>
      </w:pPr>
      <w:r>
        <w:rPr>
          <w:i w:val="0"/>
          <w:sz w:val="20"/>
          <w:szCs w:val="20"/>
        </w:rPr>
        <w:fldChar w:fldCharType="end"/>
      </w:r>
    </w:p>
    <w:p w14:paraId="01728AE5" w14:textId="14C54EBF" w:rsidR="006A49B2" w:rsidRPr="006A49B2" w:rsidRDefault="006A49B2" w:rsidP="006A49B2">
      <w:pPr>
        <w:pStyle w:val="3SectionTitle"/>
        <w:rPr>
          <w:color w:val="333333" w:themeColor="background1"/>
          <w:sz w:val="22"/>
        </w:rPr>
      </w:pPr>
    </w:p>
    <w:p w14:paraId="45243C32" w14:textId="77777777" w:rsidR="006A49B2" w:rsidRPr="006A49B2" w:rsidRDefault="006A49B2" w:rsidP="006A49B2">
      <w:pPr>
        <w:rPr>
          <w:caps/>
          <w:color w:val="333333" w:themeColor="background1"/>
          <w:sz w:val="22"/>
        </w:rPr>
      </w:pPr>
      <w:r w:rsidRPr="006A49B2">
        <w:rPr>
          <w:color w:val="333333" w:themeColor="background1"/>
          <w:sz w:val="22"/>
        </w:rPr>
        <w:br w:type="page"/>
      </w:r>
    </w:p>
    <w:p w14:paraId="4E88667D" w14:textId="77777777" w:rsidR="002725E5" w:rsidRPr="00F041AD" w:rsidRDefault="00667BEE" w:rsidP="00875F55">
      <w:pPr>
        <w:pStyle w:val="3SectionTitle"/>
        <w:rPr>
          <w:color w:val="333333" w:themeColor="background1"/>
        </w:rPr>
      </w:pPr>
      <w:bookmarkStart w:id="14" w:name="_Toc322962024"/>
      <w:bookmarkStart w:id="15" w:name="_Toc322962211"/>
      <w:r w:rsidRPr="00F041AD">
        <w:rPr>
          <w:color w:val="333333" w:themeColor="background1"/>
        </w:rPr>
        <w:lastRenderedPageBreak/>
        <w:t>Glossary of Terms</w:t>
      </w:r>
      <w:bookmarkEnd w:id="12"/>
      <w:bookmarkEnd w:id="13"/>
      <w:bookmarkEnd w:id="14"/>
      <w:bookmarkEnd w:id="15"/>
      <w:r w:rsidRPr="00F041AD">
        <w:rPr>
          <w:color w:val="333333" w:themeColor="background1"/>
        </w:rPr>
        <w:t xml:space="preserve"> </w:t>
      </w:r>
    </w:p>
    <w:p w14:paraId="013501A9" w14:textId="77777777" w:rsidR="002725E5" w:rsidRPr="00F041AD" w:rsidRDefault="002725E5" w:rsidP="002725E5">
      <w:pPr>
        <w:pStyle w:val="5BodyText"/>
        <w:rPr>
          <w:color w:val="333333" w:themeColor="background1"/>
        </w:rPr>
      </w:pPr>
    </w:p>
    <w:p w14:paraId="3542DE98" w14:textId="25D12A08" w:rsidR="002725E5" w:rsidRPr="00F041AD" w:rsidRDefault="002725E5" w:rsidP="00F655E6">
      <w:pPr>
        <w:pStyle w:val="5BodyText"/>
        <w:numPr>
          <w:ilvl w:val="0"/>
          <w:numId w:val="54"/>
        </w:numPr>
        <w:rPr>
          <w:color w:val="333333" w:themeColor="background1"/>
        </w:rPr>
      </w:pPr>
      <w:r w:rsidRPr="00F041AD">
        <w:rPr>
          <w:b/>
          <w:color w:val="333333" w:themeColor="background1"/>
        </w:rPr>
        <w:t>Advanced biofuels</w:t>
      </w:r>
      <w:r w:rsidRPr="00F041AD">
        <w:rPr>
          <w:color w:val="333333" w:themeColor="background1"/>
        </w:rPr>
        <w:t xml:space="preserve"> – energy sources derived from woody crops or agricultural waste and residues; have lower lifecycle emissions compared with conventional biofuels; also known as second-generation biofuels</w:t>
      </w:r>
    </w:p>
    <w:p w14:paraId="61623752"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Advanced metering infrastructure (AMI)</w:t>
      </w:r>
      <w:r w:rsidRPr="00F041AD">
        <w:rPr>
          <w:color w:val="333333" w:themeColor="background1"/>
        </w:rPr>
        <w:t xml:space="preserve"> – an integrated system of smart meters, communications networks, and data management systems that allows communication between customers and utilities </w:t>
      </w:r>
    </w:p>
    <w:p w14:paraId="0FF13748"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Alternative fuel vehicles (AFVs)</w:t>
      </w:r>
      <w:r w:rsidRPr="00F041AD">
        <w:rPr>
          <w:color w:val="333333" w:themeColor="background1"/>
        </w:rPr>
        <w:t xml:space="preserve"> – vehicles that are powered by fuels other than petroleum, including battery electric, hybrid gas and electric, natural gas, biofuels, and hydrogen fuel cells</w:t>
      </w:r>
    </w:p>
    <w:p w14:paraId="33E28D9D"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Anaerobic digestion</w:t>
      </w:r>
      <w:r w:rsidRPr="00F041AD">
        <w:rPr>
          <w:color w:val="333333" w:themeColor="background1"/>
        </w:rPr>
        <w:t xml:space="preserve"> – a series of biological processes in which microorganisms break down biodegradable material in the absence of oxygen; by-product is combustible biogas, which can be used to generate electricity or heat, or can be processed into renewable natural gas and transportation fuels </w:t>
      </w:r>
    </w:p>
    <w:p w14:paraId="155F8C51"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Benchmarking and disclosure</w:t>
      </w:r>
      <w:r w:rsidRPr="00F041AD">
        <w:rPr>
          <w:color w:val="333333" w:themeColor="background1"/>
        </w:rPr>
        <w:t xml:space="preserve"> – voluntary or mandated programs in which a building’s energy use is measured and shared publicly in some manner</w:t>
      </w:r>
    </w:p>
    <w:p w14:paraId="0D96AF75" w14:textId="6E47E7B2" w:rsidR="002725E5" w:rsidRPr="00F041AD" w:rsidRDefault="002725E5" w:rsidP="00F655E6">
      <w:pPr>
        <w:pStyle w:val="5BodyText"/>
        <w:numPr>
          <w:ilvl w:val="0"/>
          <w:numId w:val="54"/>
        </w:numPr>
        <w:rPr>
          <w:color w:val="333333" w:themeColor="background1"/>
        </w:rPr>
      </w:pPr>
      <w:r w:rsidRPr="00F041AD">
        <w:rPr>
          <w:b/>
          <w:color w:val="333333" w:themeColor="background1"/>
        </w:rPr>
        <w:t>Biobased chemicals</w:t>
      </w:r>
      <w:r w:rsidRPr="00F041AD">
        <w:rPr>
          <w:color w:val="333333" w:themeColor="background1"/>
        </w:rPr>
        <w:t xml:space="preserve"> – chemicals derived from forestry and agricultural </w:t>
      </w:r>
      <w:r w:rsidR="00F11A15">
        <w:rPr>
          <w:color w:val="333333" w:themeColor="background1"/>
        </w:rPr>
        <w:t>materials</w:t>
      </w:r>
      <w:r w:rsidRPr="00F041AD">
        <w:rPr>
          <w:color w:val="333333" w:themeColor="background1"/>
        </w:rPr>
        <w:t>, rather than petroleum</w:t>
      </w:r>
    </w:p>
    <w:p w14:paraId="68D5DF89" w14:textId="61B46AAB" w:rsidR="002725E5" w:rsidRPr="00F041AD" w:rsidRDefault="002725E5" w:rsidP="00F655E6">
      <w:pPr>
        <w:pStyle w:val="5BodyText"/>
        <w:numPr>
          <w:ilvl w:val="0"/>
          <w:numId w:val="54"/>
        </w:numPr>
        <w:rPr>
          <w:color w:val="333333" w:themeColor="background1"/>
        </w:rPr>
      </w:pPr>
      <w:r w:rsidRPr="00F041AD">
        <w:rPr>
          <w:b/>
          <w:color w:val="333333" w:themeColor="background1"/>
        </w:rPr>
        <w:t>Biofuels</w:t>
      </w:r>
      <w:r w:rsidRPr="00F041AD">
        <w:rPr>
          <w:color w:val="333333" w:themeColor="background1"/>
        </w:rPr>
        <w:t xml:space="preserve"> – energy sources derived from agricultural </w:t>
      </w:r>
      <w:r w:rsidR="00F11A15">
        <w:rPr>
          <w:color w:val="333333" w:themeColor="background1"/>
        </w:rPr>
        <w:t>materials</w:t>
      </w:r>
      <w:r w:rsidRPr="00F041AD">
        <w:rPr>
          <w:color w:val="333333" w:themeColor="background1"/>
        </w:rPr>
        <w:t xml:space="preserve">, forestry </w:t>
      </w:r>
      <w:r w:rsidR="00F11A15">
        <w:rPr>
          <w:color w:val="333333" w:themeColor="background1"/>
        </w:rPr>
        <w:t>materials</w:t>
      </w:r>
      <w:r w:rsidRPr="00F041AD">
        <w:rPr>
          <w:color w:val="333333" w:themeColor="background1"/>
        </w:rPr>
        <w:t>, and other biomass resources</w:t>
      </w:r>
    </w:p>
    <w:p w14:paraId="6FED8846"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Clean energy</w:t>
      </w:r>
      <w:r w:rsidRPr="00F041AD">
        <w:rPr>
          <w:color w:val="333333" w:themeColor="background1"/>
        </w:rPr>
        <w:t xml:space="preserve"> – low-emission energy sources, including renewables, and in some cases natural gas and nuclear energy</w:t>
      </w:r>
    </w:p>
    <w:p w14:paraId="0691C8CA"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Combined heat and power (CHP)</w:t>
      </w:r>
      <w:r w:rsidRPr="00F041AD">
        <w:rPr>
          <w:color w:val="333333" w:themeColor="background1"/>
        </w:rPr>
        <w:t xml:space="preserve"> – co-generation of thermal and electrical energy</w:t>
      </w:r>
    </w:p>
    <w:p w14:paraId="21D09B77"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Demand response</w:t>
      </w:r>
      <w:r w:rsidRPr="00F041AD">
        <w:rPr>
          <w:color w:val="333333" w:themeColor="background1"/>
        </w:rPr>
        <w:t xml:space="preserve"> – a mechanism by which customers are compensated by the utility for shedding their load during times of peak energy demand</w:t>
      </w:r>
    </w:p>
    <w:p w14:paraId="5AE8F2E7"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Distributed energy resources (DERs)</w:t>
      </w:r>
      <w:r w:rsidRPr="00F041AD">
        <w:rPr>
          <w:color w:val="333333" w:themeColor="background1"/>
        </w:rPr>
        <w:t xml:space="preserve"> – smaller-scale, decentralized power sources and/or conversion equipment, including renewable energy, energy efficiency, demand response, and energy storage technologies</w:t>
      </w:r>
    </w:p>
    <w:p w14:paraId="35BB7D7B"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Electric vehicles (EVs)</w:t>
      </w:r>
      <w:r w:rsidRPr="00F041AD">
        <w:rPr>
          <w:color w:val="333333" w:themeColor="background1"/>
        </w:rPr>
        <w:t xml:space="preserve"> – vehicles that are powered by an electric powertrain</w:t>
      </w:r>
    </w:p>
    <w:p w14:paraId="74C9B14C"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Energy efficiency</w:t>
      </w:r>
      <w:r w:rsidRPr="00F041AD">
        <w:rPr>
          <w:color w:val="333333" w:themeColor="background1"/>
        </w:rPr>
        <w:t xml:space="preserve"> – technology or processes used to reduce energy that is wasted, requiring less energy to provide the same service</w:t>
      </w:r>
    </w:p>
    <w:p w14:paraId="78A393BD"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Fossil fuels</w:t>
      </w:r>
      <w:r w:rsidRPr="00F041AD">
        <w:rPr>
          <w:color w:val="333333" w:themeColor="background1"/>
        </w:rPr>
        <w:t xml:space="preserve"> – hydrocarbon deposits formed by the decomposition of prehistoric organisms; includes coal, natural gas, and petroleum </w:t>
      </w:r>
    </w:p>
    <w:p w14:paraId="36679F7D" w14:textId="7E6DFAC8" w:rsidR="002725E5" w:rsidRPr="00F041AD" w:rsidRDefault="002725E5" w:rsidP="00F655E6">
      <w:pPr>
        <w:pStyle w:val="5BodyText"/>
        <w:numPr>
          <w:ilvl w:val="0"/>
          <w:numId w:val="54"/>
        </w:numPr>
        <w:rPr>
          <w:color w:val="333333" w:themeColor="background1"/>
        </w:rPr>
      </w:pPr>
      <w:r w:rsidRPr="00F041AD">
        <w:rPr>
          <w:b/>
          <w:color w:val="333333" w:themeColor="background1"/>
        </w:rPr>
        <w:t>Greenhouse gases (GHGs)</w:t>
      </w:r>
      <w:r w:rsidR="00721411" w:rsidRPr="00F041AD">
        <w:rPr>
          <w:color w:val="333333" w:themeColor="background1"/>
        </w:rPr>
        <w:t xml:space="preserve"> </w:t>
      </w:r>
      <w:r w:rsidRPr="00F041AD">
        <w:rPr>
          <w:color w:val="333333" w:themeColor="background1"/>
        </w:rPr>
        <w:t>–gases that contribute to the greenhouse effect by absorbing infrared radiation, including carbon dioxide, methane, and chlorofluorocarbons</w:t>
      </w:r>
    </w:p>
    <w:p w14:paraId="405E528E"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Grid modernization</w:t>
      </w:r>
      <w:r w:rsidRPr="00F041AD">
        <w:rPr>
          <w:color w:val="333333" w:themeColor="background1"/>
        </w:rPr>
        <w:t xml:space="preserve"> – upgrades to the electrical grid infrastructure that support the integration of distributed energy resources and supporting technology</w:t>
      </w:r>
    </w:p>
    <w:p w14:paraId="7D91EABF"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lastRenderedPageBreak/>
        <w:t>Renewable energy</w:t>
      </w:r>
      <w:r w:rsidRPr="00F041AD">
        <w:rPr>
          <w:color w:val="333333" w:themeColor="background1"/>
        </w:rPr>
        <w:t xml:space="preserve"> – Energy from sources that can be renewed within a reasonable amount of time, including solar, wind, hydro, tidal, geothermal, biomass</w:t>
      </w:r>
    </w:p>
    <w:p w14:paraId="61E7A76F" w14:textId="0714929B" w:rsidR="002725E5" w:rsidRPr="00F041AD" w:rsidRDefault="002725E5" w:rsidP="00F655E6">
      <w:pPr>
        <w:pStyle w:val="5BodyText"/>
        <w:numPr>
          <w:ilvl w:val="0"/>
          <w:numId w:val="54"/>
        </w:numPr>
        <w:rPr>
          <w:color w:val="333333" w:themeColor="background1"/>
        </w:rPr>
      </w:pPr>
      <w:r w:rsidRPr="00F041AD">
        <w:rPr>
          <w:b/>
          <w:color w:val="333333" w:themeColor="background1"/>
        </w:rPr>
        <w:t>Retro</w:t>
      </w:r>
      <w:r w:rsidR="00B3406B" w:rsidRPr="00F041AD">
        <w:rPr>
          <w:b/>
          <w:color w:val="333333" w:themeColor="background1"/>
        </w:rPr>
        <w:t>-</w:t>
      </w:r>
      <w:r w:rsidRPr="00F041AD">
        <w:rPr>
          <w:b/>
          <w:color w:val="333333" w:themeColor="background1"/>
        </w:rPr>
        <w:t>commissioning</w:t>
      </w:r>
      <w:r w:rsidRPr="00F041AD">
        <w:rPr>
          <w:color w:val="333333" w:themeColor="background1"/>
        </w:rPr>
        <w:t xml:space="preserve"> – a process for evaluating, adjusting, and/or replacing a building’s equipment, lighting, and control systems to reach optimal performance based on its design</w:t>
      </w:r>
    </w:p>
    <w:p w14:paraId="0F0F2585"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Smart inverter</w:t>
      </w:r>
      <w:r w:rsidRPr="00F041AD">
        <w:rPr>
          <w:color w:val="333333" w:themeColor="background1"/>
        </w:rPr>
        <w:t xml:space="preserve"> – device that converts direct current to alternating current, and has bi-directional communication abilities, digital architecture, and software infrastructure</w:t>
      </w:r>
    </w:p>
    <w:p w14:paraId="531F0AC6"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Thermal grids</w:t>
      </w:r>
      <w:r w:rsidRPr="00F041AD">
        <w:rPr>
          <w:color w:val="333333" w:themeColor="background1"/>
        </w:rPr>
        <w:t xml:space="preserve"> – grid that integrate sources of heating and cooling</w:t>
      </w:r>
    </w:p>
    <w:p w14:paraId="68ED3541" w14:textId="77777777" w:rsidR="002725E5" w:rsidRPr="00F041AD" w:rsidRDefault="002725E5" w:rsidP="00F655E6">
      <w:pPr>
        <w:pStyle w:val="5BodyText"/>
        <w:numPr>
          <w:ilvl w:val="0"/>
          <w:numId w:val="54"/>
        </w:numPr>
        <w:rPr>
          <w:color w:val="333333" w:themeColor="background1"/>
        </w:rPr>
      </w:pPr>
      <w:r w:rsidRPr="00F041AD">
        <w:rPr>
          <w:b/>
          <w:color w:val="333333" w:themeColor="background1"/>
        </w:rPr>
        <w:t>Time-based rates</w:t>
      </w:r>
      <w:r w:rsidRPr="00F041AD">
        <w:rPr>
          <w:color w:val="333333" w:themeColor="background1"/>
        </w:rPr>
        <w:t xml:space="preserve"> – electricity rates that are based on the time at which energy is consumed to account for demand</w:t>
      </w:r>
    </w:p>
    <w:p w14:paraId="783D2DAC" w14:textId="6F20EAF5" w:rsidR="00667BEE" w:rsidRPr="00F041AD" w:rsidRDefault="002725E5" w:rsidP="00F655E6">
      <w:pPr>
        <w:pStyle w:val="5BodyText"/>
        <w:numPr>
          <w:ilvl w:val="0"/>
          <w:numId w:val="54"/>
        </w:numPr>
        <w:rPr>
          <w:color w:val="333333" w:themeColor="background1"/>
        </w:rPr>
      </w:pPr>
      <w:r w:rsidRPr="00F041AD">
        <w:rPr>
          <w:b/>
          <w:color w:val="333333" w:themeColor="background1"/>
        </w:rPr>
        <w:t>Utility green power programs</w:t>
      </w:r>
      <w:r w:rsidRPr="00F041AD">
        <w:rPr>
          <w:color w:val="333333" w:themeColor="background1"/>
        </w:rPr>
        <w:t xml:space="preserve"> – programs offered by electric and natural gas utilities for customers to purchase clean energy</w:t>
      </w:r>
    </w:p>
    <w:p w14:paraId="53F0888A" w14:textId="77777777" w:rsidR="00D269AB" w:rsidRPr="00F041AD" w:rsidRDefault="00D269AB" w:rsidP="00667BEE">
      <w:pPr>
        <w:pStyle w:val="5BodyText"/>
        <w:rPr>
          <w:rFonts w:cs="Arial"/>
          <w:bCs/>
          <w:color w:val="333333" w:themeColor="background1"/>
        </w:rPr>
      </w:pPr>
    </w:p>
    <w:p w14:paraId="31235443" w14:textId="77777777" w:rsidR="00667BEE" w:rsidRPr="00F041AD" w:rsidRDefault="00667BEE" w:rsidP="00875F55">
      <w:pPr>
        <w:pStyle w:val="3SectionTitle"/>
        <w:rPr>
          <w:rFonts w:cs="Times New Roman"/>
          <w:color w:val="333333" w:themeColor="background1"/>
        </w:rPr>
      </w:pPr>
      <w:bookmarkStart w:id="16" w:name="_Toc322933797"/>
      <w:bookmarkStart w:id="17" w:name="_Toc322961579"/>
      <w:bookmarkStart w:id="18" w:name="_Toc322962025"/>
      <w:bookmarkStart w:id="19" w:name="_Toc322962212"/>
      <w:r w:rsidRPr="00F041AD">
        <w:rPr>
          <w:color w:val="333333" w:themeColor="background1"/>
        </w:rPr>
        <w:t>Acronyms</w:t>
      </w:r>
      <w:bookmarkEnd w:id="16"/>
      <w:bookmarkEnd w:id="17"/>
      <w:bookmarkEnd w:id="18"/>
      <w:bookmarkEnd w:id="19"/>
    </w:p>
    <w:p w14:paraId="511A2D3C"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CEE: Center for Energy and Environment </w:t>
      </w:r>
    </w:p>
    <w:p w14:paraId="7446355A"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CERTs: Clean Energy Resource Teams </w:t>
      </w:r>
    </w:p>
    <w:p w14:paraId="4479C6BD"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CIP: Conservation Improvement Program </w:t>
      </w:r>
    </w:p>
    <w:p w14:paraId="0ECA230B"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CSEO: Climate Solutions and Economic Opportunities </w:t>
      </w:r>
    </w:p>
    <w:p w14:paraId="7BAF236D"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DEED: Minnesota Department of Employment and Economic Development </w:t>
      </w:r>
    </w:p>
    <w:p w14:paraId="08EF02EA"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DLI: Minnesota Department of Labor and Industry </w:t>
      </w:r>
    </w:p>
    <w:p w14:paraId="544F774A"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DNR: Minnesota Department of Natural Resources </w:t>
      </w:r>
    </w:p>
    <w:p w14:paraId="07A03923" w14:textId="382C9FA8" w:rsidR="00D269AB" w:rsidRPr="00F041AD" w:rsidRDefault="00C5076A" w:rsidP="00F655E6">
      <w:pPr>
        <w:pStyle w:val="5BodyText"/>
        <w:numPr>
          <w:ilvl w:val="0"/>
          <w:numId w:val="55"/>
        </w:numPr>
        <w:rPr>
          <w:color w:val="333333" w:themeColor="background1"/>
        </w:rPr>
      </w:pPr>
      <w:r>
        <w:rPr>
          <w:color w:val="333333" w:themeColor="background1"/>
        </w:rPr>
        <w:t>COMM</w:t>
      </w:r>
      <w:r w:rsidR="00D269AB" w:rsidRPr="00F041AD">
        <w:rPr>
          <w:color w:val="333333" w:themeColor="background1"/>
        </w:rPr>
        <w:t xml:space="preserve">: Minnesota Department of Commerce </w:t>
      </w:r>
    </w:p>
    <w:p w14:paraId="28BCB2BB" w14:textId="222D3D09" w:rsidR="00D269AB" w:rsidRPr="00F041AD" w:rsidRDefault="00D269AB" w:rsidP="00F655E6">
      <w:pPr>
        <w:pStyle w:val="5BodyText"/>
        <w:numPr>
          <w:ilvl w:val="0"/>
          <w:numId w:val="55"/>
        </w:numPr>
        <w:rPr>
          <w:color w:val="333333" w:themeColor="background1"/>
        </w:rPr>
      </w:pPr>
      <w:r w:rsidRPr="00F041AD">
        <w:rPr>
          <w:color w:val="333333" w:themeColor="background1"/>
        </w:rPr>
        <w:t>DOE: U</w:t>
      </w:r>
      <w:r w:rsidR="00197B6F">
        <w:rPr>
          <w:color w:val="333333" w:themeColor="background1"/>
        </w:rPr>
        <w:t>nited States</w:t>
      </w:r>
      <w:r w:rsidRPr="00F041AD">
        <w:rPr>
          <w:color w:val="333333" w:themeColor="background1"/>
        </w:rPr>
        <w:t xml:space="preserve"> Department of Energy </w:t>
      </w:r>
    </w:p>
    <w:p w14:paraId="6A21808E"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EQB: Minnesota Environmental Quality Board </w:t>
      </w:r>
    </w:p>
    <w:p w14:paraId="224DB283"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GPI: Great Plains Institute </w:t>
      </w:r>
    </w:p>
    <w:p w14:paraId="19C606C9"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MDA: Minnesota Department of Agriculture </w:t>
      </w:r>
    </w:p>
    <w:p w14:paraId="5CFF1387" w14:textId="6254C358" w:rsidR="00D269AB" w:rsidRPr="00F041AD" w:rsidRDefault="00D269AB" w:rsidP="00F655E6">
      <w:pPr>
        <w:pStyle w:val="5BodyText"/>
        <w:numPr>
          <w:ilvl w:val="0"/>
          <w:numId w:val="55"/>
        </w:numPr>
        <w:rPr>
          <w:color w:val="333333" w:themeColor="background1"/>
        </w:rPr>
      </w:pPr>
      <w:proofErr w:type="spellStart"/>
      <w:r w:rsidRPr="00F041AD">
        <w:rPr>
          <w:color w:val="333333" w:themeColor="background1"/>
        </w:rPr>
        <w:t>M</w:t>
      </w:r>
      <w:r w:rsidR="00197B6F">
        <w:rPr>
          <w:color w:val="333333" w:themeColor="background1"/>
        </w:rPr>
        <w:t>n</w:t>
      </w:r>
      <w:r w:rsidRPr="00F041AD">
        <w:rPr>
          <w:color w:val="333333" w:themeColor="background1"/>
        </w:rPr>
        <w:t>TAP</w:t>
      </w:r>
      <w:proofErr w:type="spellEnd"/>
      <w:r w:rsidRPr="00F041AD">
        <w:rPr>
          <w:color w:val="333333" w:themeColor="background1"/>
        </w:rPr>
        <w:t xml:space="preserve">: Minnesota Technical Assistance Program </w:t>
      </w:r>
    </w:p>
    <w:p w14:paraId="409CF8F6"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MPCA: Minnesota Pollution Control Agency </w:t>
      </w:r>
    </w:p>
    <w:p w14:paraId="6107C3D1"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MRITS: Minnesota Renewable Energy Integration and Transmission Study </w:t>
      </w:r>
    </w:p>
    <w:p w14:paraId="01F00996" w14:textId="77777777" w:rsidR="00D269AB" w:rsidRPr="00F041AD" w:rsidRDefault="00D269AB" w:rsidP="00F655E6">
      <w:pPr>
        <w:pStyle w:val="5BodyText"/>
        <w:numPr>
          <w:ilvl w:val="0"/>
          <w:numId w:val="55"/>
        </w:numPr>
        <w:rPr>
          <w:color w:val="333333" w:themeColor="background1"/>
        </w:rPr>
      </w:pPr>
      <w:r w:rsidRPr="00F041AD">
        <w:rPr>
          <w:color w:val="333333" w:themeColor="background1"/>
        </w:rPr>
        <w:t xml:space="preserve">PUC: Minnesota Public Utilities Commission </w:t>
      </w:r>
    </w:p>
    <w:p w14:paraId="31071854" w14:textId="70AC7F1B" w:rsidR="00667BEE" w:rsidRDefault="00D269AB" w:rsidP="00F655E6">
      <w:pPr>
        <w:pStyle w:val="5BodyText"/>
        <w:numPr>
          <w:ilvl w:val="0"/>
          <w:numId w:val="55"/>
        </w:numPr>
        <w:rPr>
          <w:color w:val="333333" w:themeColor="background1"/>
        </w:rPr>
      </w:pPr>
      <w:r w:rsidRPr="00F041AD">
        <w:rPr>
          <w:color w:val="333333" w:themeColor="background1"/>
        </w:rPr>
        <w:t>RES: Renewable Energy Standard</w:t>
      </w:r>
    </w:p>
    <w:p w14:paraId="6DEC3ACE" w14:textId="1A98D77E" w:rsidR="00197B6F" w:rsidRPr="00F041AD" w:rsidRDefault="00197B6F" w:rsidP="00F655E6">
      <w:pPr>
        <w:pStyle w:val="5BodyText"/>
        <w:numPr>
          <w:ilvl w:val="0"/>
          <w:numId w:val="55"/>
        </w:numPr>
        <w:rPr>
          <w:color w:val="333333" w:themeColor="background1"/>
        </w:rPr>
      </w:pPr>
      <w:r>
        <w:rPr>
          <w:color w:val="333333" w:themeColor="background1"/>
        </w:rPr>
        <w:t>USDA: United States Department of Agriculture</w:t>
      </w:r>
    </w:p>
    <w:p w14:paraId="249510D2" w14:textId="77777777" w:rsidR="00D269AB" w:rsidRPr="00F041AD" w:rsidRDefault="00D269AB" w:rsidP="00D269AB">
      <w:pPr>
        <w:pStyle w:val="5BodyText"/>
        <w:rPr>
          <w:color w:val="333333" w:themeColor="background1"/>
        </w:rPr>
      </w:pPr>
    </w:p>
    <w:p w14:paraId="37A27511" w14:textId="6E71D807" w:rsidR="001D7211" w:rsidRPr="00F041AD" w:rsidRDefault="001D7211" w:rsidP="001D7211">
      <w:pPr>
        <w:pStyle w:val="3SectionTitle"/>
        <w:rPr>
          <w:color w:val="333333" w:themeColor="background1"/>
        </w:rPr>
      </w:pPr>
      <w:bookmarkStart w:id="20" w:name="_Toc322961580"/>
      <w:bookmarkStart w:id="21" w:name="_Toc322962026"/>
      <w:bookmarkStart w:id="22" w:name="_Toc322962213"/>
      <w:r w:rsidRPr="00F041AD">
        <w:rPr>
          <w:color w:val="333333" w:themeColor="background1"/>
        </w:rPr>
        <w:t>List of figures</w:t>
      </w:r>
      <w:bookmarkEnd w:id="20"/>
      <w:bookmarkEnd w:id="21"/>
      <w:bookmarkEnd w:id="22"/>
    </w:p>
    <w:p w14:paraId="2AB58D71" w14:textId="616D125D" w:rsidR="005C4F4F" w:rsidRPr="00F041AD" w:rsidRDefault="00224824">
      <w:pPr>
        <w:pStyle w:val="TableofFigures"/>
        <w:tabs>
          <w:tab w:val="right" w:leader="dot" w:pos="10070"/>
        </w:tabs>
        <w:rPr>
          <w:rFonts w:asciiTheme="minorHAnsi" w:hAnsiTheme="minorHAnsi"/>
          <w:noProof/>
          <w:color w:val="333333" w:themeColor="background1"/>
          <w:sz w:val="20"/>
          <w:szCs w:val="20"/>
        </w:rPr>
      </w:pPr>
      <w:r w:rsidRPr="00F041AD">
        <w:rPr>
          <w:color w:val="333333" w:themeColor="background1"/>
          <w:sz w:val="20"/>
          <w:szCs w:val="20"/>
        </w:rPr>
        <w:fldChar w:fldCharType="begin"/>
      </w:r>
      <w:r w:rsidRPr="00F041AD">
        <w:rPr>
          <w:color w:val="333333" w:themeColor="background1"/>
          <w:sz w:val="20"/>
          <w:szCs w:val="20"/>
        </w:rPr>
        <w:instrText xml:space="preserve"> TOC \c "Figure" </w:instrText>
      </w:r>
      <w:r w:rsidRPr="00F041AD">
        <w:rPr>
          <w:color w:val="333333" w:themeColor="background1"/>
          <w:sz w:val="20"/>
          <w:szCs w:val="20"/>
        </w:rPr>
        <w:fldChar w:fldCharType="separate"/>
      </w:r>
      <w:r w:rsidR="005C4F4F" w:rsidRPr="00F041AD">
        <w:rPr>
          <w:noProof/>
          <w:color w:val="333333" w:themeColor="background1"/>
          <w:sz w:val="20"/>
          <w:szCs w:val="20"/>
        </w:rPr>
        <w:t>Figure 1: Minnesota Energy Supply by Source, 2013</w:t>
      </w:r>
      <w:r w:rsidR="005C4F4F" w:rsidRPr="00F041AD">
        <w:rPr>
          <w:noProof/>
          <w:color w:val="333333" w:themeColor="background1"/>
          <w:sz w:val="20"/>
          <w:szCs w:val="20"/>
        </w:rPr>
        <w:tab/>
      </w:r>
      <w:r w:rsidR="005C4F4F" w:rsidRPr="00F041AD">
        <w:rPr>
          <w:noProof/>
          <w:color w:val="333333" w:themeColor="background1"/>
          <w:sz w:val="20"/>
          <w:szCs w:val="20"/>
        </w:rPr>
        <w:fldChar w:fldCharType="begin"/>
      </w:r>
      <w:r w:rsidR="005C4F4F" w:rsidRPr="00F041AD">
        <w:rPr>
          <w:noProof/>
          <w:color w:val="333333" w:themeColor="background1"/>
          <w:sz w:val="20"/>
          <w:szCs w:val="20"/>
        </w:rPr>
        <w:instrText xml:space="preserve"> PAGEREF _Toc322958510 \h </w:instrText>
      </w:r>
      <w:r w:rsidR="005C4F4F" w:rsidRPr="00F041AD">
        <w:rPr>
          <w:noProof/>
          <w:color w:val="333333" w:themeColor="background1"/>
          <w:sz w:val="20"/>
          <w:szCs w:val="20"/>
        </w:rPr>
      </w:r>
      <w:r w:rsidR="005C4F4F" w:rsidRPr="00F041AD">
        <w:rPr>
          <w:noProof/>
          <w:color w:val="333333" w:themeColor="background1"/>
          <w:sz w:val="20"/>
          <w:szCs w:val="20"/>
        </w:rPr>
        <w:fldChar w:fldCharType="separate"/>
      </w:r>
      <w:r w:rsidR="00705DB5">
        <w:rPr>
          <w:noProof/>
          <w:color w:val="333333" w:themeColor="background1"/>
          <w:sz w:val="20"/>
          <w:szCs w:val="20"/>
        </w:rPr>
        <w:t>23</w:t>
      </w:r>
      <w:r w:rsidR="005C4F4F" w:rsidRPr="00F041AD">
        <w:rPr>
          <w:noProof/>
          <w:color w:val="333333" w:themeColor="background1"/>
          <w:sz w:val="20"/>
          <w:szCs w:val="20"/>
        </w:rPr>
        <w:fldChar w:fldCharType="end"/>
      </w:r>
    </w:p>
    <w:p w14:paraId="11FFE63F" w14:textId="3066575F"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2: Renewables as a percent of Minnesota's total energy supply, 2005-2013</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_Toc322958511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24</w:t>
      </w:r>
      <w:r w:rsidRPr="00F041AD">
        <w:rPr>
          <w:noProof/>
          <w:color w:val="333333" w:themeColor="background1"/>
          <w:sz w:val="20"/>
          <w:szCs w:val="20"/>
        </w:rPr>
        <w:fldChar w:fldCharType="end"/>
      </w:r>
    </w:p>
    <w:p w14:paraId="2130A939" w14:textId="6132AC54"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3: Minnesota electricity generation by source, 2005-2013</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_Toc322958512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25</w:t>
      </w:r>
      <w:r w:rsidRPr="00F041AD">
        <w:rPr>
          <w:noProof/>
          <w:color w:val="333333" w:themeColor="background1"/>
          <w:sz w:val="20"/>
          <w:szCs w:val="20"/>
        </w:rPr>
        <w:fldChar w:fldCharType="end"/>
      </w:r>
    </w:p>
    <w:p w14:paraId="62D8BB3C" w14:textId="700A0408"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4: Estimated Minnesota energy use in 2013, by source and sector</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_Toc322958513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26</w:t>
      </w:r>
      <w:r w:rsidRPr="00F041AD">
        <w:rPr>
          <w:noProof/>
          <w:color w:val="333333" w:themeColor="background1"/>
          <w:sz w:val="20"/>
          <w:szCs w:val="20"/>
        </w:rPr>
        <w:fldChar w:fldCharType="end"/>
      </w:r>
    </w:p>
    <w:p w14:paraId="2F93CA3C" w14:textId="4B4987DD"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lastRenderedPageBreak/>
        <w:t>Figure 5: Total Minnesota energy consumption, 1960-2013</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_Toc322958514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28</w:t>
      </w:r>
      <w:r w:rsidRPr="00F041AD">
        <w:rPr>
          <w:noProof/>
          <w:color w:val="333333" w:themeColor="background1"/>
          <w:sz w:val="20"/>
          <w:szCs w:val="20"/>
        </w:rPr>
        <w:fldChar w:fldCharType="end"/>
      </w:r>
    </w:p>
    <w:p w14:paraId="53C226AE" w14:textId="5EEE04C5"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6: Minnesota source energy use by sector, 2013</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_Toc322958515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28</w:t>
      </w:r>
      <w:r w:rsidRPr="00F041AD">
        <w:rPr>
          <w:noProof/>
          <w:color w:val="333333" w:themeColor="background1"/>
          <w:sz w:val="20"/>
          <w:szCs w:val="20"/>
        </w:rPr>
        <w:fldChar w:fldCharType="end"/>
      </w:r>
    </w:p>
    <w:p w14:paraId="5A52B49B" w14:textId="6C39F173"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7: Minnesota fossil fuel use per capita, 2005 to 2013</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_Toc322958516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29</w:t>
      </w:r>
      <w:r w:rsidRPr="00F041AD">
        <w:rPr>
          <w:noProof/>
          <w:color w:val="333333" w:themeColor="background1"/>
          <w:sz w:val="20"/>
          <w:szCs w:val="20"/>
        </w:rPr>
        <w:fldChar w:fldCharType="end"/>
      </w:r>
    </w:p>
    <w:p w14:paraId="31E77E85" w14:textId="05F0BA99"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8: Minnesota greenhouse gas emission trends by sector, 2005 to 2012</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_Toc322958517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30</w:t>
      </w:r>
      <w:r w:rsidRPr="00F041AD">
        <w:rPr>
          <w:noProof/>
          <w:color w:val="333333" w:themeColor="background1"/>
          <w:sz w:val="20"/>
          <w:szCs w:val="20"/>
        </w:rPr>
        <w:fldChar w:fldCharType="end"/>
      </w:r>
    </w:p>
    <w:p w14:paraId="18ED707D" w14:textId="7F332FC2"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9: Minnesota forecasted greenhouse gas emissions and state goals</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_Toc322958518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30</w:t>
      </w:r>
      <w:r w:rsidRPr="00F041AD">
        <w:rPr>
          <w:noProof/>
          <w:color w:val="333333" w:themeColor="background1"/>
          <w:sz w:val="20"/>
          <w:szCs w:val="20"/>
        </w:rPr>
        <w:fldChar w:fldCharType="end"/>
      </w:r>
    </w:p>
    <w:p w14:paraId="6801196A" w14:textId="69BC1DCF"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10: Map of Minnesota utility territories offering community solar, as of March 2016</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_Toc322958519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37</w:t>
      </w:r>
      <w:r w:rsidRPr="00F041AD">
        <w:rPr>
          <w:noProof/>
          <w:color w:val="333333" w:themeColor="background1"/>
          <w:sz w:val="20"/>
          <w:szCs w:val="20"/>
        </w:rPr>
        <w:fldChar w:fldCharType="end"/>
      </w:r>
    </w:p>
    <w:p w14:paraId="0D38E595" w14:textId="70D08376"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11: Means of Transportation to Work, Minnesota 2013, U.S. Department of transportation</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_Toc322958520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49</w:t>
      </w:r>
      <w:r w:rsidRPr="00F041AD">
        <w:rPr>
          <w:noProof/>
          <w:color w:val="333333" w:themeColor="background1"/>
          <w:sz w:val="20"/>
          <w:szCs w:val="20"/>
        </w:rPr>
        <w:fldChar w:fldCharType="end"/>
      </w:r>
    </w:p>
    <w:p w14:paraId="5ACC3216" w14:textId="0A5029FA"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12: Net emissions from gasoline-fueled versus electric vehicles with different fuel mix scenarios.</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_Toc322958521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51</w:t>
      </w:r>
      <w:r w:rsidRPr="00F041AD">
        <w:rPr>
          <w:noProof/>
          <w:color w:val="333333" w:themeColor="background1"/>
          <w:sz w:val="20"/>
          <w:szCs w:val="20"/>
        </w:rPr>
        <w:fldChar w:fldCharType="end"/>
      </w:r>
    </w:p>
    <w:p w14:paraId="66AA4F3B" w14:textId="406702B5"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13: Net emissions from different transportation fuels.</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_Toc322958522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52</w:t>
      </w:r>
      <w:r w:rsidRPr="00F041AD">
        <w:rPr>
          <w:noProof/>
          <w:color w:val="333333" w:themeColor="background1"/>
          <w:sz w:val="20"/>
          <w:szCs w:val="20"/>
        </w:rPr>
        <w:fldChar w:fldCharType="end"/>
      </w:r>
    </w:p>
    <w:p w14:paraId="2EAE7116" w14:textId="4ADFBE02"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14: Total cost of ownership of conventional ICE vehicle versus electric vehicle at different levels of annual mileage.</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_Toc322958523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56</w:t>
      </w:r>
      <w:r w:rsidRPr="00F041AD">
        <w:rPr>
          <w:noProof/>
          <w:color w:val="333333" w:themeColor="background1"/>
          <w:sz w:val="20"/>
          <w:szCs w:val="20"/>
        </w:rPr>
        <w:fldChar w:fldCharType="end"/>
      </w:r>
    </w:p>
    <w:p w14:paraId="75352CFC" w14:textId="04892DEB"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15: AMI adoption by state, 2014</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_Toc322958524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70</w:t>
      </w:r>
      <w:r w:rsidRPr="00F041AD">
        <w:rPr>
          <w:noProof/>
          <w:color w:val="333333" w:themeColor="background1"/>
          <w:sz w:val="20"/>
          <w:szCs w:val="20"/>
        </w:rPr>
        <w:fldChar w:fldCharType="end"/>
      </w:r>
    </w:p>
    <w:p w14:paraId="140BB124" w14:textId="1DB34606"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16: Minnesota source energy use by sector, 2013</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_Toc322958525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93</w:t>
      </w:r>
      <w:r w:rsidRPr="00F041AD">
        <w:rPr>
          <w:noProof/>
          <w:color w:val="333333" w:themeColor="background1"/>
          <w:sz w:val="20"/>
          <w:szCs w:val="20"/>
        </w:rPr>
        <w:fldChar w:fldCharType="end"/>
      </w:r>
    </w:p>
    <w:p w14:paraId="1F9773A5" w14:textId="019209C2"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17: Selected university, hospital, and municipal thermal energy projects in Minnesota by city, as of January 2016</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_Toc322958526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115</w:t>
      </w:r>
      <w:r w:rsidRPr="00F041AD">
        <w:rPr>
          <w:noProof/>
          <w:color w:val="333333" w:themeColor="background1"/>
          <w:sz w:val="20"/>
          <w:szCs w:val="20"/>
        </w:rPr>
        <w:fldChar w:fldCharType="end"/>
      </w:r>
    </w:p>
    <w:p w14:paraId="103C31F3" w14:textId="5A8D0615" w:rsidR="005C4F4F" w:rsidRPr="00F041AD" w:rsidRDefault="005C4F4F">
      <w:pPr>
        <w:pStyle w:val="TableofFigures"/>
        <w:tabs>
          <w:tab w:val="right" w:leader="dot" w:pos="10070"/>
        </w:tabs>
        <w:rPr>
          <w:rFonts w:asciiTheme="minorHAnsi" w:hAnsiTheme="minorHAnsi"/>
          <w:noProof/>
          <w:color w:val="333333" w:themeColor="background1"/>
          <w:sz w:val="20"/>
          <w:szCs w:val="20"/>
        </w:rPr>
      </w:pPr>
      <w:r w:rsidRPr="00F041AD">
        <w:rPr>
          <w:noProof/>
          <w:color w:val="333333" w:themeColor="background1"/>
          <w:sz w:val="20"/>
          <w:szCs w:val="20"/>
        </w:rPr>
        <w:t>Figure 18: Key elements of community energy planning.</w:t>
      </w:r>
      <w:r w:rsidRPr="00F041AD">
        <w:rPr>
          <w:noProof/>
          <w:color w:val="333333" w:themeColor="background1"/>
          <w:sz w:val="20"/>
          <w:szCs w:val="20"/>
        </w:rPr>
        <w:tab/>
      </w:r>
      <w:r w:rsidRPr="00F041AD">
        <w:rPr>
          <w:noProof/>
          <w:color w:val="333333" w:themeColor="background1"/>
          <w:sz w:val="20"/>
          <w:szCs w:val="20"/>
        </w:rPr>
        <w:fldChar w:fldCharType="begin"/>
      </w:r>
      <w:r w:rsidRPr="00F041AD">
        <w:rPr>
          <w:noProof/>
          <w:color w:val="333333" w:themeColor="background1"/>
          <w:sz w:val="20"/>
          <w:szCs w:val="20"/>
        </w:rPr>
        <w:instrText xml:space="preserve"> PAGEREF _Toc322958527 \h </w:instrText>
      </w:r>
      <w:r w:rsidRPr="00F041AD">
        <w:rPr>
          <w:noProof/>
          <w:color w:val="333333" w:themeColor="background1"/>
          <w:sz w:val="20"/>
          <w:szCs w:val="20"/>
        </w:rPr>
      </w:r>
      <w:r w:rsidRPr="00F041AD">
        <w:rPr>
          <w:noProof/>
          <w:color w:val="333333" w:themeColor="background1"/>
          <w:sz w:val="20"/>
          <w:szCs w:val="20"/>
        </w:rPr>
        <w:fldChar w:fldCharType="separate"/>
      </w:r>
      <w:r w:rsidR="00705DB5">
        <w:rPr>
          <w:noProof/>
          <w:color w:val="333333" w:themeColor="background1"/>
          <w:sz w:val="20"/>
          <w:szCs w:val="20"/>
        </w:rPr>
        <w:t>156</w:t>
      </w:r>
      <w:r w:rsidRPr="00F041AD">
        <w:rPr>
          <w:noProof/>
          <w:color w:val="333333" w:themeColor="background1"/>
          <w:sz w:val="20"/>
          <w:szCs w:val="20"/>
        </w:rPr>
        <w:fldChar w:fldCharType="end"/>
      </w:r>
    </w:p>
    <w:p w14:paraId="5A1BB1A5" w14:textId="77777777" w:rsidR="00224824" w:rsidRPr="00F041AD" w:rsidRDefault="00224824" w:rsidP="00D269AB">
      <w:pPr>
        <w:pStyle w:val="5BodyText"/>
        <w:rPr>
          <w:color w:val="333333" w:themeColor="background1"/>
          <w:szCs w:val="20"/>
        </w:rPr>
      </w:pPr>
      <w:r w:rsidRPr="00F041AD">
        <w:rPr>
          <w:color w:val="333333" w:themeColor="background1"/>
          <w:szCs w:val="20"/>
        </w:rPr>
        <w:fldChar w:fldCharType="end"/>
      </w:r>
    </w:p>
    <w:p w14:paraId="3F855376" w14:textId="77777777" w:rsidR="00D269AB" w:rsidRPr="00F041AD" w:rsidRDefault="00D269AB">
      <w:pPr>
        <w:rPr>
          <w:rFonts w:ascii="Helvetica Neue Medium" w:hAnsi="Helvetica Neue Medium"/>
          <w:caps/>
          <w:color w:val="333333" w:themeColor="background1"/>
          <w:sz w:val="20"/>
          <w:szCs w:val="20"/>
        </w:rPr>
      </w:pPr>
      <w:r w:rsidRPr="00F041AD">
        <w:rPr>
          <w:color w:val="333333" w:themeColor="background1"/>
          <w:sz w:val="20"/>
          <w:szCs w:val="20"/>
        </w:rPr>
        <w:br w:type="page"/>
      </w:r>
    </w:p>
    <w:p w14:paraId="1268F234" w14:textId="05B302F6" w:rsidR="00CC44FA" w:rsidRPr="00F041AD" w:rsidRDefault="00CC44FA" w:rsidP="00875F55">
      <w:pPr>
        <w:pStyle w:val="3SectionTitle"/>
        <w:rPr>
          <w:color w:val="333333" w:themeColor="background1"/>
        </w:rPr>
      </w:pPr>
      <w:bookmarkStart w:id="23" w:name="_Toc322933798"/>
      <w:bookmarkStart w:id="24" w:name="_Toc322961581"/>
      <w:bookmarkStart w:id="25" w:name="_Toc322962027"/>
      <w:bookmarkStart w:id="26" w:name="_Toc322962214"/>
      <w:r w:rsidRPr="00F041AD">
        <w:rPr>
          <w:color w:val="333333" w:themeColor="background1"/>
        </w:rPr>
        <w:lastRenderedPageBreak/>
        <w:t>1.</w:t>
      </w:r>
      <w:r w:rsidR="00BD44A2" w:rsidRPr="00F041AD">
        <w:rPr>
          <w:color w:val="333333" w:themeColor="background1"/>
        </w:rPr>
        <w:t xml:space="preserve"> </w:t>
      </w:r>
      <w:r w:rsidR="00313EE8" w:rsidRPr="00F041AD">
        <w:rPr>
          <w:color w:val="333333" w:themeColor="background1"/>
        </w:rPr>
        <w:t>Executive Summary</w:t>
      </w:r>
      <w:bookmarkEnd w:id="23"/>
      <w:bookmarkEnd w:id="24"/>
      <w:bookmarkEnd w:id="25"/>
      <w:bookmarkEnd w:id="26"/>
    </w:p>
    <w:p w14:paraId="67A13637" w14:textId="4269943E" w:rsidR="00A10E97" w:rsidRPr="00F041AD" w:rsidRDefault="00A10E97" w:rsidP="00ED21EA">
      <w:pPr>
        <w:pStyle w:val="5BodyText"/>
        <w:rPr>
          <w:color w:val="333333" w:themeColor="background1"/>
        </w:rPr>
      </w:pPr>
      <w:r w:rsidRPr="00F041AD">
        <w:rPr>
          <w:color w:val="333333" w:themeColor="background1"/>
        </w:rPr>
        <w:t xml:space="preserve">The 2025 Energy Action Plan lays out a path forward for Minnesota to help advance a clean, reliable, resilient and affordable energy system for Minnesota. Funded through a U.S. Department of Energy grant, the 2025 Energy Action Plan focuses on near-term, cross-sector strategies that add value to Minnesota’s dynamic energy landscape. While the scope of these strategies is wide, the Action Plan is not intended to be a comprehensive energy plan for the state. </w:t>
      </w:r>
    </w:p>
    <w:p w14:paraId="2EA9DB83" w14:textId="77777777" w:rsidR="00A10E97" w:rsidRPr="00F041AD" w:rsidRDefault="00A10E97" w:rsidP="00ED21EA">
      <w:pPr>
        <w:pStyle w:val="5BodyText"/>
        <w:rPr>
          <w:color w:val="333333" w:themeColor="background1"/>
        </w:rPr>
      </w:pPr>
    </w:p>
    <w:p w14:paraId="788C7476" w14:textId="3F5CD3AB" w:rsidR="00237C65" w:rsidRPr="00F041AD" w:rsidRDefault="00237C65" w:rsidP="007F3F44">
      <w:pPr>
        <w:pStyle w:val="6BodyHighlight"/>
        <w:rPr>
          <w:color w:val="333333" w:themeColor="background1"/>
        </w:rPr>
      </w:pPr>
      <w:bookmarkStart w:id="27" w:name="_Toc322961582"/>
      <w:r w:rsidRPr="00F041AD">
        <w:rPr>
          <w:color w:val="333333" w:themeColor="background1"/>
        </w:rPr>
        <w:t>A changing energy landscape</w:t>
      </w:r>
      <w:bookmarkEnd w:id="27"/>
    </w:p>
    <w:p w14:paraId="4556E9E9" w14:textId="77777777" w:rsidR="00A10E97" w:rsidRPr="00F041AD" w:rsidRDefault="00A10E97" w:rsidP="00ED21EA">
      <w:pPr>
        <w:pStyle w:val="5BodyText"/>
        <w:rPr>
          <w:color w:val="333333" w:themeColor="background1"/>
        </w:rPr>
      </w:pPr>
      <w:r w:rsidRPr="00F041AD">
        <w:rPr>
          <w:color w:val="333333" w:themeColor="background1"/>
        </w:rPr>
        <w:t>Minnesota is facing a rapidly changing energy landscape that offers opportunities in the near term to make progress towards clean energy while boosting the state economy. Several trends indicate a changing outlook for the state’s energy landscape:</w:t>
      </w:r>
    </w:p>
    <w:p w14:paraId="1225E687" w14:textId="77777777" w:rsidR="001D4EE6" w:rsidRPr="00F041AD" w:rsidRDefault="001D4EE6" w:rsidP="00ED21EA">
      <w:pPr>
        <w:pStyle w:val="5BodyText"/>
        <w:rPr>
          <w:color w:val="333333" w:themeColor="background1"/>
        </w:rPr>
      </w:pPr>
    </w:p>
    <w:p w14:paraId="325867C3" w14:textId="1BEBDE2E" w:rsidR="00B65A50" w:rsidRPr="00F041AD" w:rsidRDefault="00A10E97" w:rsidP="001D1907">
      <w:pPr>
        <w:pStyle w:val="5BodyText"/>
        <w:numPr>
          <w:ilvl w:val="0"/>
          <w:numId w:val="1"/>
        </w:numPr>
        <w:rPr>
          <w:color w:val="333333" w:themeColor="background1"/>
        </w:rPr>
      </w:pPr>
      <w:r w:rsidRPr="00F041AD">
        <w:rPr>
          <w:color w:val="333333" w:themeColor="background1"/>
        </w:rPr>
        <w:t>Vehicle technology is becoming more efficient, with vehicles that run on electricity</w:t>
      </w:r>
      <w:r w:rsidR="00B65A50" w:rsidRPr="00F041AD">
        <w:rPr>
          <w:rStyle w:val="EndnoteReference"/>
          <w:color w:val="333333" w:themeColor="background1"/>
        </w:rPr>
        <w:endnoteReference w:id="2"/>
      </w:r>
      <w:r w:rsidR="00B65A50" w:rsidRPr="00F041AD">
        <w:rPr>
          <w:color w:val="333333" w:themeColor="background1"/>
        </w:rPr>
        <w:t xml:space="preserve"> and other alternative fuels gaining</w:t>
      </w:r>
      <w:r w:rsidR="00B65A50" w:rsidRPr="00F041AD">
        <w:rPr>
          <w:rStyle w:val="EndnoteReference"/>
          <w:color w:val="333333" w:themeColor="background1"/>
        </w:rPr>
        <w:endnoteReference w:id="3"/>
      </w:r>
      <w:r w:rsidR="00B65A50" w:rsidRPr="00F041AD">
        <w:rPr>
          <w:color w:val="333333" w:themeColor="background1"/>
        </w:rPr>
        <w:t xml:space="preserve"> market share.</w:t>
      </w:r>
    </w:p>
    <w:p w14:paraId="04916EB2" w14:textId="33889C6A" w:rsidR="00B65A50" w:rsidRPr="00F041AD" w:rsidRDefault="00B65A50" w:rsidP="001D1907">
      <w:pPr>
        <w:pStyle w:val="5BodyText"/>
        <w:numPr>
          <w:ilvl w:val="0"/>
          <w:numId w:val="1"/>
        </w:numPr>
        <w:rPr>
          <w:color w:val="333333" w:themeColor="background1"/>
        </w:rPr>
      </w:pPr>
      <w:r w:rsidRPr="00F041AD">
        <w:rPr>
          <w:color w:val="333333" w:themeColor="background1"/>
        </w:rPr>
        <w:t>The century-old energy production paradigm is quickly shifting. Clean energy resources are becoming cost-competitive with conventional energy resources</w:t>
      </w:r>
      <w:r w:rsidRPr="00F041AD">
        <w:rPr>
          <w:rStyle w:val="EndnoteReference"/>
          <w:color w:val="333333" w:themeColor="background1"/>
        </w:rPr>
        <w:endnoteReference w:id="4"/>
      </w:r>
      <w:r w:rsidRPr="00F041AD">
        <w:rPr>
          <w:color w:val="333333" w:themeColor="background1"/>
        </w:rPr>
        <w:t xml:space="preserve"> and are becoming more appealing to consumers.</w:t>
      </w:r>
      <w:r w:rsidRPr="00F041AD">
        <w:rPr>
          <w:rStyle w:val="EndnoteReference"/>
          <w:color w:val="333333" w:themeColor="background1"/>
        </w:rPr>
        <w:endnoteReference w:id="5"/>
      </w:r>
    </w:p>
    <w:p w14:paraId="5A5067BF" w14:textId="02470557" w:rsidR="00B65A50" w:rsidRPr="00F041AD" w:rsidRDefault="00B65A50" w:rsidP="001D1907">
      <w:pPr>
        <w:pStyle w:val="5BodyText"/>
        <w:numPr>
          <w:ilvl w:val="0"/>
          <w:numId w:val="1"/>
        </w:numPr>
        <w:rPr>
          <w:color w:val="333333" w:themeColor="background1"/>
        </w:rPr>
      </w:pPr>
      <w:r w:rsidRPr="00F041AD">
        <w:rPr>
          <w:color w:val="333333" w:themeColor="background1"/>
        </w:rPr>
        <w:t>Technology to allow the efficient use of energy is evolving quickly,</w:t>
      </w:r>
      <w:r w:rsidRPr="00F041AD">
        <w:rPr>
          <w:rStyle w:val="EndnoteReference"/>
          <w:color w:val="333333" w:themeColor="background1"/>
        </w:rPr>
        <w:endnoteReference w:id="6"/>
      </w:r>
      <w:r w:rsidRPr="00F041AD">
        <w:rPr>
          <w:color w:val="333333" w:themeColor="background1"/>
        </w:rPr>
        <w:t xml:space="preserve"> and data to support energy efficiency investments is becoming increasingly accessible to utilities and consumers.</w:t>
      </w:r>
      <w:r w:rsidRPr="00F041AD">
        <w:rPr>
          <w:rStyle w:val="EndnoteReference"/>
          <w:color w:val="333333" w:themeColor="background1"/>
        </w:rPr>
        <w:endnoteReference w:id="7"/>
      </w:r>
    </w:p>
    <w:p w14:paraId="59A8F65B" w14:textId="4F1B163B" w:rsidR="00B65A50" w:rsidRPr="00F041AD" w:rsidRDefault="00B65A50" w:rsidP="001D1907">
      <w:pPr>
        <w:pStyle w:val="5BodyText"/>
        <w:numPr>
          <w:ilvl w:val="0"/>
          <w:numId w:val="1"/>
        </w:numPr>
        <w:rPr>
          <w:color w:val="333333" w:themeColor="background1"/>
        </w:rPr>
      </w:pPr>
      <w:r w:rsidRPr="00F041AD">
        <w:rPr>
          <w:color w:val="333333" w:themeColor="background1"/>
        </w:rPr>
        <w:t>Minnesota’s agricultural businesses and other industries continue to advance local energy resources and drive progress towards leadership in the clean energy economy.</w:t>
      </w:r>
      <w:r w:rsidRPr="00F041AD">
        <w:rPr>
          <w:rStyle w:val="EndnoteReference"/>
          <w:color w:val="333333" w:themeColor="background1"/>
        </w:rPr>
        <w:endnoteReference w:id="8"/>
      </w:r>
    </w:p>
    <w:p w14:paraId="41FFF772" w14:textId="0028EC9E" w:rsidR="00B65A50" w:rsidRPr="00F041AD" w:rsidRDefault="00B65A50" w:rsidP="001D1907">
      <w:pPr>
        <w:pStyle w:val="5BodyText"/>
        <w:numPr>
          <w:ilvl w:val="0"/>
          <w:numId w:val="1"/>
        </w:numPr>
        <w:rPr>
          <w:color w:val="333333" w:themeColor="background1"/>
        </w:rPr>
      </w:pPr>
      <w:r w:rsidRPr="00F041AD">
        <w:rPr>
          <w:color w:val="333333" w:themeColor="background1"/>
        </w:rPr>
        <w:t>All the while, local governments and tribal nations in Minnesota, like others around the country, are increasingly advancing community-scale solutions to climate and energy challenges.</w:t>
      </w:r>
      <w:r w:rsidRPr="00F041AD">
        <w:rPr>
          <w:rStyle w:val="EndnoteReference"/>
          <w:color w:val="333333" w:themeColor="background1"/>
        </w:rPr>
        <w:endnoteReference w:id="9"/>
      </w:r>
    </w:p>
    <w:p w14:paraId="16BB8CC9" w14:textId="00660833" w:rsidR="00B65A50" w:rsidRPr="00F041AD" w:rsidRDefault="00B65A50" w:rsidP="00ED21EA">
      <w:pPr>
        <w:pStyle w:val="5BodyText"/>
        <w:rPr>
          <w:color w:val="333333" w:themeColor="background1"/>
        </w:rPr>
      </w:pPr>
    </w:p>
    <w:p w14:paraId="77A835F4" w14:textId="2E667B77" w:rsidR="00B65A50" w:rsidRPr="00F041AD" w:rsidRDefault="00B65A50" w:rsidP="00ED21EA">
      <w:pPr>
        <w:pStyle w:val="5BodyText"/>
        <w:rPr>
          <w:color w:val="333333" w:themeColor="background1"/>
        </w:rPr>
      </w:pPr>
      <w:r w:rsidRPr="00F041AD">
        <w:rPr>
          <w:color w:val="333333" w:themeColor="background1"/>
        </w:rPr>
        <w:t>These developments, coupled with federal environmental regulations, state policies, and state goals, can help Minnesota move toward a clean energy future. The current momentum has Minnesota poised to become an energy leader for the Midwest and the rest of the nation. Taking advantage of these opportunities over the next ten years will be pivotal in determining the state’s energy future.</w:t>
      </w:r>
      <w:r w:rsidR="003C0256" w:rsidRPr="00F041AD">
        <w:rPr>
          <w:color w:val="333333" w:themeColor="background1"/>
        </w:rPr>
        <w:t xml:space="preserve"> By acting now, Minnesota can position itself as a competitive player in a $200 billion national clean energy market and a $1.4 trillion global clean energy market.</w:t>
      </w:r>
      <w:r w:rsidR="003C0256" w:rsidRPr="00F041AD">
        <w:rPr>
          <w:rStyle w:val="EndnoteReference"/>
          <w:color w:val="333333" w:themeColor="background1"/>
        </w:rPr>
        <w:endnoteReference w:id="10"/>
      </w:r>
      <w:r w:rsidR="003C0256" w:rsidRPr="00F041AD">
        <w:rPr>
          <w:color w:val="333333" w:themeColor="background1"/>
        </w:rPr>
        <w:t xml:space="preserve"> </w:t>
      </w:r>
    </w:p>
    <w:p w14:paraId="0B2AD179" w14:textId="77777777" w:rsidR="00B65A50" w:rsidRPr="00F041AD" w:rsidRDefault="00B65A50" w:rsidP="00ED21EA">
      <w:pPr>
        <w:pStyle w:val="5BodyText"/>
        <w:rPr>
          <w:color w:val="333333" w:themeColor="background1"/>
        </w:rPr>
      </w:pPr>
    </w:p>
    <w:p w14:paraId="54455E11" w14:textId="043687BF" w:rsidR="00B65A50" w:rsidRPr="00F041AD" w:rsidRDefault="00B65A50" w:rsidP="007F3F44">
      <w:pPr>
        <w:pStyle w:val="6BodyHighlight"/>
        <w:rPr>
          <w:color w:val="333333" w:themeColor="background1"/>
        </w:rPr>
      </w:pPr>
      <w:bookmarkStart w:id="28" w:name="_Toc322961583"/>
      <w:r w:rsidRPr="00F041AD">
        <w:rPr>
          <w:color w:val="333333" w:themeColor="background1"/>
        </w:rPr>
        <w:t>The 2025 Energy Action Plan identifies paths forward</w:t>
      </w:r>
      <w:bookmarkEnd w:id="28"/>
    </w:p>
    <w:p w14:paraId="04B2BDF1" w14:textId="3D191A42" w:rsidR="00B65A50" w:rsidRPr="00F041AD" w:rsidRDefault="003C0256" w:rsidP="00ED21EA">
      <w:pPr>
        <w:pStyle w:val="5BodyText"/>
        <w:rPr>
          <w:color w:val="333333" w:themeColor="background1"/>
        </w:rPr>
      </w:pPr>
      <w:r w:rsidRPr="00F041AD">
        <w:rPr>
          <w:color w:val="333333" w:themeColor="background1"/>
        </w:rPr>
        <w:t xml:space="preserve">With momentum building in the state, Minnesota is well positioned to become a clean energy leader for the Midwest and the rest of the nation. </w:t>
      </w:r>
      <w:r w:rsidR="00B65A50" w:rsidRPr="00F041AD">
        <w:rPr>
          <w:color w:val="333333" w:themeColor="background1"/>
        </w:rPr>
        <w:t xml:space="preserve">The Energy Action Plan identifies strategies with traction to move forward and capture these opportunities. The Action Plan tells the story of Minnesota's current energy landscape and identifies priority strategies with actionable steps to advance these strategies over the next ten years. This </w:t>
      </w:r>
      <w:r w:rsidR="00B65A50" w:rsidRPr="00F041AD">
        <w:rPr>
          <w:color w:val="333333" w:themeColor="background1"/>
        </w:rPr>
        <w:lastRenderedPageBreak/>
        <w:t>report also includes indicators that can be used to track and communicate the impacts of the Action Plan in the future.</w:t>
      </w:r>
    </w:p>
    <w:p w14:paraId="582D75C1" w14:textId="77777777" w:rsidR="00B65A50" w:rsidRPr="00F041AD" w:rsidRDefault="00B65A50" w:rsidP="00ED21EA">
      <w:pPr>
        <w:pStyle w:val="5BodyText"/>
        <w:rPr>
          <w:color w:val="333333" w:themeColor="background1"/>
        </w:rPr>
      </w:pPr>
    </w:p>
    <w:p w14:paraId="630B5796" w14:textId="77777777" w:rsidR="00B65A50" w:rsidRPr="00F041AD" w:rsidRDefault="00B65A50" w:rsidP="00ED21EA">
      <w:pPr>
        <w:pStyle w:val="5BodyText"/>
        <w:rPr>
          <w:color w:val="333333" w:themeColor="background1"/>
        </w:rPr>
      </w:pPr>
      <w:r w:rsidRPr="00F041AD">
        <w:rPr>
          <w:color w:val="333333" w:themeColor="background1"/>
        </w:rPr>
        <w:t>Strategies were selected through a rigorous stakeholder engagement process. The Stakeholder Advisory Committee</w:t>
      </w:r>
      <w:r w:rsidRPr="00F041AD">
        <w:rPr>
          <w:rStyle w:val="EndnoteReference"/>
          <w:color w:val="333333" w:themeColor="background1"/>
        </w:rPr>
        <w:endnoteReference w:id="11"/>
      </w:r>
      <w:r w:rsidRPr="00F041AD">
        <w:rPr>
          <w:color w:val="333333" w:themeColor="background1"/>
        </w:rPr>
        <w:t xml:space="preserve"> provided input in the development of technologies, strategies, and baseline and outcome indicators, and the committee steered the development of the 2025 Energy Action Plan through three meetings held between July and December 2015. </w:t>
      </w:r>
    </w:p>
    <w:p w14:paraId="405930FF" w14:textId="77777777" w:rsidR="00B65A50" w:rsidRPr="00F041AD" w:rsidRDefault="00B65A50" w:rsidP="00ED21EA">
      <w:pPr>
        <w:pStyle w:val="5BodyText"/>
        <w:rPr>
          <w:color w:val="333333" w:themeColor="background1"/>
        </w:rPr>
      </w:pPr>
    </w:p>
    <w:p w14:paraId="60FBFF5B" w14:textId="70846762" w:rsidR="00B65A50" w:rsidRPr="00F041AD" w:rsidRDefault="00B65A50" w:rsidP="00ED21EA">
      <w:pPr>
        <w:pStyle w:val="5BodyText"/>
        <w:rPr>
          <w:color w:val="333333" w:themeColor="background1"/>
        </w:rPr>
      </w:pPr>
      <w:r w:rsidRPr="00F041AD">
        <w:rPr>
          <w:color w:val="333333" w:themeColor="background1"/>
        </w:rPr>
        <w:t xml:space="preserve">Stakeholders selected strategies based on a set of common criteria: </w:t>
      </w:r>
    </w:p>
    <w:p w14:paraId="3E801EA0" w14:textId="7CBEB73E" w:rsidR="00B65A50" w:rsidRPr="00F041AD" w:rsidRDefault="00B65A50" w:rsidP="001D1907">
      <w:pPr>
        <w:pStyle w:val="5BodyText"/>
        <w:numPr>
          <w:ilvl w:val="0"/>
          <w:numId w:val="3"/>
        </w:numPr>
        <w:rPr>
          <w:color w:val="333333" w:themeColor="background1"/>
        </w:rPr>
      </w:pPr>
      <w:r w:rsidRPr="00F041AD">
        <w:rPr>
          <w:color w:val="333333" w:themeColor="background1"/>
        </w:rPr>
        <w:t xml:space="preserve">The strategy or technology’s </w:t>
      </w:r>
      <w:r w:rsidRPr="00F041AD">
        <w:rPr>
          <w:b/>
          <w:color w:val="333333" w:themeColor="background1"/>
        </w:rPr>
        <w:t>potential impact to support Minnesota’s current goals</w:t>
      </w:r>
      <w:r w:rsidRPr="00F041AD">
        <w:rPr>
          <w:color w:val="333333" w:themeColor="background1"/>
        </w:rPr>
        <w:t xml:space="preserve"> (outlined in Table ES1 below) related to energy, climate and air quality, and environmental justice </w:t>
      </w:r>
    </w:p>
    <w:p w14:paraId="5423AE6D" w14:textId="507FC45E" w:rsidR="00B65A50" w:rsidRPr="00F041AD" w:rsidRDefault="00B65A50" w:rsidP="001D1907">
      <w:pPr>
        <w:pStyle w:val="5BodyText"/>
        <w:numPr>
          <w:ilvl w:val="0"/>
          <w:numId w:val="3"/>
        </w:numPr>
        <w:rPr>
          <w:color w:val="333333" w:themeColor="background1"/>
        </w:rPr>
      </w:pPr>
      <w:r w:rsidRPr="00F041AD">
        <w:rPr>
          <w:color w:val="333333" w:themeColor="background1"/>
        </w:rPr>
        <w:t xml:space="preserve">The potential for the 2025 Energy Action Plan project to </w:t>
      </w:r>
      <w:r w:rsidRPr="00F041AD">
        <w:rPr>
          <w:b/>
          <w:color w:val="333333" w:themeColor="background1"/>
        </w:rPr>
        <w:t>significantly advance progress towards clean energy</w:t>
      </w:r>
      <w:r w:rsidRPr="00F041AD">
        <w:rPr>
          <w:color w:val="333333" w:themeColor="background1"/>
        </w:rPr>
        <w:t xml:space="preserve"> on a particular strategy in the context of related projects in Minnesota</w:t>
      </w:r>
    </w:p>
    <w:p w14:paraId="77E75E51" w14:textId="77777777" w:rsidR="00B65A50" w:rsidRPr="00F041AD" w:rsidRDefault="00B65A50" w:rsidP="001D1907">
      <w:pPr>
        <w:pStyle w:val="5BodyText"/>
        <w:numPr>
          <w:ilvl w:val="0"/>
          <w:numId w:val="3"/>
        </w:numPr>
        <w:rPr>
          <w:color w:val="333333" w:themeColor="background1"/>
        </w:rPr>
      </w:pPr>
      <w:r w:rsidRPr="00F041AD">
        <w:rPr>
          <w:color w:val="333333" w:themeColor="background1"/>
        </w:rPr>
        <w:t xml:space="preserve">Anticipated </w:t>
      </w:r>
      <w:r w:rsidRPr="00F041AD">
        <w:rPr>
          <w:b/>
          <w:color w:val="333333" w:themeColor="background1"/>
        </w:rPr>
        <w:t>benefits relative to costs</w:t>
      </w:r>
    </w:p>
    <w:p w14:paraId="021A37A6" w14:textId="77777777" w:rsidR="00B65A50" w:rsidRPr="00F041AD" w:rsidRDefault="00B65A50" w:rsidP="001D1907">
      <w:pPr>
        <w:pStyle w:val="5BodyText"/>
        <w:numPr>
          <w:ilvl w:val="0"/>
          <w:numId w:val="3"/>
        </w:numPr>
        <w:rPr>
          <w:color w:val="333333" w:themeColor="background1"/>
        </w:rPr>
      </w:pPr>
      <w:r w:rsidRPr="00F041AD">
        <w:rPr>
          <w:b/>
          <w:color w:val="333333" w:themeColor="background1"/>
        </w:rPr>
        <w:t>Commitment</w:t>
      </w:r>
      <w:r w:rsidRPr="00F041AD">
        <w:rPr>
          <w:color w:val="333333" w:themeColor="background1"/>
        </w:rPr>
        <w:t xml:space="preserve"> by stakeholders or other champions to advancing the strategy and ability to leverage additional resources</w:t>
      </w:r>
    </w:p>
    <w:p w14:paraId="4B4F7A4F" w14:textId="77777777" w:rsidR="00B65A50" w:rsidRPr="00F041AD" w:rsidRDefault="00B65A50" w:rsidP="001D1907">
      <w:pPr>
        <w:pStyle w:val="5BodyText"/>
        <w:numPr>
          <w:ilvl w:val="0"/>
          <w:numId w:val="3"/>
        </w:numPr>
        <w:rPr>
          <w:color w:val="333333" w:themeColor="background1"/>
        </w:rPr>
      </w:pPr>
      <w:r w:rsidRPr="00F041AD">
        <w:rPr>
          <w:color w:val="333333" w:themeColor="background1"/>
        </w:rPr>
        <w:t xml:space="preserve">Potential to provide benefits </w:t>
      </w:r>
      <w:r w:rsidRPr="00F041AD">
        <w:rPr>
          <w:b/>
          <w:color w:val="333333" w:themeColor="background1"/>
        </w:rPr>
        <w:t>across economic sectors</w:t>
      </w:r>
      <w:r w:rsidRPr="00F041AD">
        <w:rPr>
          <w:color w:val="333333" w:themeColor="background1"/>
        </w:rPr>
        <w:t>, and</w:t>
      </w:r>
    </w:p>
    <w:p w14:paraId="38B96C9F" w14:textId="4313FAAC" w:rsidR="00B65A50" w:rsidRPr="00F041AD" w:rsidRDefault="00B65A50" w:rsidP="001D1907">
      <w:pPr>
        <w:pStyle w:val="5BodyText"/>
        <w:numPr>
          <w:ilvl w:val="0"/>
          <w:numId w:val="3"/>
        </w:numPr>
        <w:rPr>
          <w:color w:val="333333" w:themeColor="background1"/>
        </w:rPr>
      </w:pPr>
      <w:r w:rsidRPr="00F041AD">
        <w:rPr>
          <w:b/>
          <w:color w:val="333333" w:themeColor="background1"/>
        </w:rPr>
        <w:t>Ten-year timeframe</w:t>
      </w:r>
      <w:r w:rsidRPr="00F041AD">
        <w:rPr>
          <w:color w:val="333333" w:themeColor="background1"/>
        </w:rPr>
        <w:t xml:space="preserve"> for implementation.</w:t>
      </w:r>
    </w:p>
    <w:p w14:paraId="548EFB4C" w14:textId="77777777" w:rsidR="00B65A50" w:rsidRPr="00F041AD" w:rsidRDefault="00B65A50" w:rsidP="003540D4">
      <w:pPr>
        <w:pStyle w:val="5BodyText"/>
        <w:rPr>
          <w:color w:val="333333" w:themeColor="background1"/>
        </w:rPr>
      </w:pPr>
    </w:p>
    <w:p w14:paraId="0C4B7837" w14:textId="08F61B45" w:rsidR="00B65A50" w:rsidRPr="00F041AD" w:rsidRDefault="00B65A50" w:rsidP="003540D4">
      <w:pPr>
        <w:pStyle w:val="7Caption"/>
        <w:rPr>
          <w:color w:val="333333" w:themeColor="background1"/>
        </w:rPr>
      </w:pPr>
      <w:r w:rsidRPr="00F041AD">
        <w:rPr>
          <w:color w:val="333333" w:themeColor="background1"/>
        </w:rPr>
        <w:lastRenderedPageBreak/>
        <w:t>Figure ES1: Noteworthy Minnesota clean energy policies and current status</w:t>
      </w:r>
    </w:p>
    <w:tbl>
      <w:tblPr>
        <w:tblStyle w:val="TableGrid"/>
        <w:tblW w:w="10368" w:type="dxa"/>
        <w:tblLook w:val="04A0" w:firstRow="1" w:lastRow="0" w:firstColumn="1" w:lastColumn="0" w:noHBand="0" w:noVBand="1"/>
      </w:tblPr>
      <w:tblGrid>
        <w:gridCol w:w="2356"/>
        <w:gridCol w:w="3332"/>
        <w:gridCol w:w="4680"/>
      </w:tblGrid>
      <w:tr w:rsidR="00B65A50" w:rsidRPr="00F041AD" w14:paraId="32AD6F17" w14:textId="77777777" w:rsidTr="001F63F9">
        <w:trPr>
          <w:trHeight w:val="226"/>
        </w:trPr>
        <w:tc>
          <w:tcPr>
            <w:tcW w:w="10368" w:type="dxa"/>
            <w:gridSpan w:val="3"/>
            <w:hideMark/>
          </w:tcPr>
          <w:p w14:paraId="5A816FDE" w14:textId="77777777" w:rsidR="00B65A50" w:rsidRPr="00F041AD" w:rsidRDefault="00B65A50" w:rsidP="00F26F54">
            <w:pPr>
              <w:pStyle w:val="5BodyText"/>
              <w:keepNext/>
              <w:keepLines/>
              <w:rPr>
                <w:color w:val="333333" w:themeColor="background1"/>
              </w:rPr>
            </w:pPr>
            <w:r w:rsidRPr="00F041AD">
              <w:rPr>
                <w:b/>
                <w:bCs/>
                <w:color w:val="333333" w:themeColor="background1"/>
              </w:rPr>
              <w:t xml:space="preserve">Minnesota Next Generation Energy Act of 2007 </w:t>
            </w:r>
          </w:p>
        </w:tc>
      </w:tr>
      <w:tr w:rsidR="00B65A50" w:rsidRPr="00F041AD" w14:paraId="1A9C54F2" w14:textId="77777777" w:rsidTr="001F63F9">
        <w:trPr>
          <w:trHeight w:val="226"/>
        </w:trPr>
        <w:tc>
          <w:tcPr>
            <w:tcW w:w="0" w:type="auto"/>
            <w:hideMark/>
          </w:tcPr>
          <w:p w14:paraId="428B9E38" w14:textId="77777777" w:rsidR="00B65A50" w:rsidRPr="00F041AD" w:rsidRDefault="00B65A50" w:rsidP="00F26F54">
            <w:pPr>
              <w:pStyle w:val="5BodyText"/>
              <w:keepNext/>
              <w:keepLines/>
              <w:rPr>
                <w:color w:val="333333" w:themeColor="background1"/>
              </w:rPr>
            </w:pPr>
            <w:r w:rsidRPr="00F041AD">
              <w:rPr>
                <w:b/>
                <w:bCs/>
                <w:color w:val="333333" w:themeColor="background1"/>
              </w:rPr>
              <w:t>Area</w:t>
            </w:r>
          </w:p>
        </w:tc>
        <w:tc>
          <w:tcPr>
            <w:tcW w:w="3332" w:type="dxa"/>
            <w:hideMark/>
          </w:tcPr>
          <w:p w14:paraId="0141B485" w14:textId="77777777" w:rsidR="00B65A50" w:rsidRPr="00F041AD" w:rsidRDefault="00B65A50" w:rsidP="00F26F54">
            <w:pPr>
              <w:pStyle w:val="5BodyText"/>
              <w:keepNext/>
              <w:keepLines/>
              <w:rPr>
                <w:color w:val="333333" w:themeColor="background1"/>
              </w:rPr>
            </w:pPr>
            <w:r w:rsidRPr="00F041AD">
              <w:rPr>
                <w:b/>
                <w:bCs/>
                <w:color w:val="333333" w:themeColor="background1"/>
              </w:rPr>
              <w:t>Goal/Requirement</w:t>
            </w:r>
          </w:p>
        </w:tc>
        <w:tc>
          <w:tcPr>
            <w:tcW w:w="4680" w:type="dxa"/>
            <w:hideMark/>
          </w:tcPr>
          <w:p w14:paraId="50B7148D" w14:textId="77777777" w:rsidR="00B65A50" w:rsidRPr="00F041AD" w:rsidRDefault="00B65A50" w:rsidP="00F26F54">
            <w:pPr>
              <w:pStyle w:val="5BodyText"/>
              <w:keepNext/>
              <w:keepLines/>
              <w:rPr>
                <w:color w:val="333333" w:themeColor="background1"/>
              </w:rPr>
            </w:pPr>
            <w:r w:rsidRPr="00F041AD">
              <w:rPr>
                <w:b/>
                <w:bCs/>
                <w:color w:val="333333" w:themeColor="background1"/>
              </w:rPr>
              <w:t>Status</w:t>
            </w:r>
          </w:p>
        </w:tc>
      </w:tr>
      <w:tr w:rsidR="00B65A50" w:rsidRPr="00F041AD" w14:paraId="295A9146" w14:textId="77777777" w:rsidTr="001F63F9">
        <w:trPr>
          <w:trHeight w:val="467"/>
        </w:trPr>
        <w:tc>
          <w:tcPr>
            <w:tcW w:w="0" w:type="auto"/>
            <w:hideMark/>
          </w:tcPr>
          <w:p w14:paraId="7A73802F" w14:textId="77777777" w:rsidR="00B65A50" w:rsidRPr="00F041AD" w:rsidRDefault="00B65A50" w:rsidP="00F26F54">
            <w:pPr>
              <w:pStyle w:val="5BodyText"/>
              <w:keepNext/>
              <w:keepLines/>
              <w:rPr>
                <w:color w:val="333333" w:themeColor="background1"/>
              </w:rPr>
            </w:pPr>
            <w:r w:rsidRPr="00F041AD">
              <w:rPr>
                <w:color w:val="333333" w:themeColor="background1"/>
              </w:rPr>
              <w:t>Per Capita Fossil Fuel Use (</w:t>
            </w:r>
            <w:hyperlink r:id="rId9" w:history="1">
              <w:r w:rsidRPr="00F041AD">
                <w:rPr>
                  <w:rStyle w:val="Hyperlink"/>
                  <w:color w:val="333333" w:themeColor="background1"/>
                </w:rPr>
                <w:t>216C.05</w:t>
              </w:r>
            </w:hyperlink>
            <w:r w:rsidRPr="00F041AD">
              <w:rPr>
                <w:color w:val="333333" w:themeColor="background1"/>
              </w:rPr>
              <w:t>)</w:t>
            </w:r>
          </w:p>
        </w:tc>
        <w:tc>
          <w:tcPr>
            <w:tcW w:w="3332" w:type="dxa"/>
            <w:hideMark/>
          </w:tcPr>
          <w:p w14:paraId="3C0974B9" w14:textId="77777777" w:rsidR="00B65A50" w:rsidRPr="00F041AD" w:rsidRDefault="00B65A50" w:rsidP="00F26F54">
            <w:pPr>
              <w:pStyle w:val="5BodyText"/>
              <w:keepNext/>
              <w:keepLines/>
              <w:rPr>
                <w:color w:val="333333" w:themeColor="background1"/>
              </w:rPr>
            </w:pPr>
            <w:r w:rsidRPr="00F041AD">
              <w:rPr>
                <w:color w:val="333333" w:themeColor="background1"/>
              </w:rPr>
              <w:t>Reduce by 15 percent by 2015</w:t>
            </w:r>
          </w:p>
        </w:tc>
        <w:tc>
          <w:tcPr>
            <w:tcW w:w="4680" w:type="dxa"/>
            <w:hideMark/>
          </w:tcPr>
          <w:p w14:paraId="51CFBB8A" w14:textId="77777777" w:rsidR="00B65A50" w:rsidRPr="00F041AD" w:rsidRDefault="00B65A50" w:rsidP="00F26F54">
            <w:pPr>
              <w:pStyle w:val="5BodyText"/>
              <w:keepNext/>
              <w:keepLines/>
              <w:rPr>
                <w:color w:val="333333" w:themeColor="background1"/>
              </w:rPr>
            </w:pPr>
            <w:r w:rsidRPr="00F041AD">
              <w:rPr>
                <w:color w:val="333333" w:themeColor="background1"/>
              </w:rPr>
              <w:t>On track – 14.7 percent reduction from 2007-2013</w:t>
            </w:r>
          </w:p>
        </w:tc>
      </w:tr>
      <w:tr w:rsidR="00B65A50" w:rsidRPr="00F041AD" w14:paraId="1334E994" w14:textId="77777777" w:rsidTr="001F63F9">
        <w:trPr>
          <w:trHeight w:val="1146"/>
        </w:trPr>
        <w:tc>
          <w:tcPr>
            <w:tcW w:w="0" w:type="auto"/>
            <w:hideMark/>
          </w:tcPr>
          <w:p w14:paraId="1283F2BD" w14:textId="77777777" w:rsidR="00B65A50" w:rsidRPr="00F041AD" w:rsidRDefault="00B65A50" w:rsidP="00F26F54">
            <w:pPr>
              <w:pStyle w:val="5BodyText"/>
              <w:keepNext/>
              <w:keepLines/>
              <w:rPr>
                <w:color w:val="333333" w:themeColor="background1"/>
              </w:rPr>
            </w:pPr>
            <w:r w:rsidRPr="00F041AD">
              <w:rPr>
                <w:color w:val="333333" w:themeColor="background1"/>
              </w:rPr>
              <w:t>Energy Consumption (</w:t>
            </w:r>
            <w:hyperlink r:id="rId10" w:history="1">
              <w:r w:rsidRPr="00F041AD">
                <w:rPr>
                  <w:rStyle w:val="Hyperlink"/>
                  <w:color w:val="333333" w:themeColor="background1"/>
                </w:rPr>
                <w:t>216C.05</w:t>
              </w:r>
            </w:hyperlink>
            <w:r w:rsidRPr="00F041AD">
              <w:rPr>
                <w:color w:val="333333" w:themeColor="background1"/>
              </w:rPr>
              <w:t>)Renewable Energy Goal</w:t>
            </w:r>
          </w:p>
        </w:tc>
        <w:tc>
          <w:tcPr>
            <w:tcW w:w="3332" w:type="dxa"/>
            <w:hideMark/>
          </w:tcPr>
          <w:p w14:paraId="6B03FB00" w14:textId="77777777" w:rsidR="00B65A50" w:rsidRPr="00F041AD" w:rsidRDefault="00B65A50" w:rsidP="00F26F54">
            <w:pPr>
              <w:pStyle w:val="5BodyText"/>
              <w:keepNext/>
              <w:keepLines/>
              <w:rPr>
                <w:color w:val="333333" w:themeColor="background1"/>
              </w:rPr>
            </w:pPr>
            <w:r w:rsidRPr="00F041AD">
              <w:rPr>
                <w:color w:val="333333" w:themeColor="background1"/>
              </w:rPr>
              <w:t>Derive 25 percent of total energy used in the state from renewable resources by 2025</w:t>
            </w:r>
          </w:p>
        </w:tc>
        <w:tc>
          <w:tcPr>
            <w:tcW w:w="4680" w:type="dxa"/>
            <w:hideMark/>
          </w:tcPr>
          <w:p w14:paraId="12C10DA3" w14:textId="77777777" w:rsidR="00B65A50" w:rsidRPr="00F041AD" w:rsidRDefault="00B65A50" w:rsidP="00F26F54">
            <w:pPr>
              <w:pStyle w:val="5BodyText"/>
              <w:keepNext/>
              <w:keepLines/>
              <w:rPr>
                <w:color w:val="333333" w:themeColor="background1"/>
              </w:rPr>
            </w:pPr>
            <w:r w:rsidRPr="00F041AD">
              <w:rPr>
                <w:color w:val="333333" w:themeColor="background1"/>
              </w:rPr>
              <w:t>Caution – Minnesota obtained 13 percent of its energy from renewable resources in 2013</w:t>
            </w:r>
          </w:p>
        </w:tc>
      </w:tr>
      <w:tr w:rsidR="00B65A50" w:rsidRPr="00F041AD" w14:paraId="35E5794D" w14:textId="77777777" w:rsidTr="001F63F9">
        <w:trPr>
          <w:trHeight w:val="483"/>
        </w:trPr>
        <w:tc>
          <w:tcPr>
            <w:tcW w:w="0" w:type="auto"/>
            <w:hideMark/>
          </w:tcPr>
          <w:p w14:paraId="6FF1918E" w14:textId="77777777" w:rsidR="00B65A50" w:rsidRPr="00F041AD" w:rsidRDefault="00B65A50" w:rsidP="00F26F54">
            <w:pPr>
              <w:pStyle w:val="5BodyText"/>
              <w:keepNext/>
              <w:keepLines/>
              <w:rPr>
                <w:color w:val="333333" w:themeColor="background1"/>
              </w:rPr>
            </w:pPr>
            <w:r w:rsidRPr="00F041AD">
              <w:rPr>
                <w:color w:val="333333" w:themeColor="background1"/>
              </w:rPr>
              <w:t xml:space="preserve">Greenhouse Gas Emissions Reduction (MS </w:t>
            </w:r>
            <w:hyperlink r:id="rId11" w:history="1">
              <w:r w:rsidRPr="00F041AD">
                <w:rPr>
                  <w:rStyle w:val="Hyperlink"/>
                  <w:color w:val="333333" w:themeColor="background1"/>
                </w:rPr>
                <w:t>216H.02</w:t>
              </w:r>
            </w:hyperlink>
            <w:r w:rsidRPr="00F041AD">
              <w:rPr>
                <w:color w:val="333333" w:themeColor="background1"/>
              </w:rPr>
              <w:t>)</w:t>
            </w:r>
          </w:p>
        </w:tc>
        <w:tc>
          <w:tcPr>
            <w:tcW w:w="3332" w:type="dxa"/>
            <w:hideMark/>
          </w:tcPr>
          <w:p w14:paraId="2169D6AB" w14:textId="77777777" w:rsidR="00B65A50" w:rsidRPr="00F041AD" w:rsidRDefault="00B65A50" w:rsidP="00F26F54">
            <w:pPr>
              <w:pStyle w:val="5BodyText"/>
              <w:keepNext/>
              <w:keepLines/>
              <w:rPr>
                <w:color w:val="333333" w:themeColor="background1"/>
              </w:rPr>
            </w:pPr>
            <w:r w:rsidRPr="00F041AD">
              <w:rPr>
                <w:color w:val="333333" w:themeColor="background1"/>
              </w:rPr>
              <w:t>Reduce state greenhouse gas emissions 15 percent below 2005 base levels by 2015, 30 percent by 2025, and 80 percent by 2050</w:t>
            </w:r>
          </w:p>
        </w:tc>
        <w:tc>
          <w:tcPr>
            <w:tcW w:w="4680" w:type="dxa"/>
            <w:hideMark/>
          </w:tcPr>
          <w:p w14:paraId="745D2F1E" w14:textId="77777777" w:rsidR="00B65A50" w:rsidRPr="00F041AD" w:rsidRDefault="00B65A50" w:rsidP="00F26F54">
            <w:pPr>
              <w:pStyle w:val="5BodyText"/>
              <w:keepNext/>
              <w:keepLines/>
              <w:rPr>
                <w:color w:val="333333" w:themeColor="background1"/>
              </w:rPr>
            </w:pPr>
            <w:r w:rsidRPr="00F041AD">
              <w:rPr>
                <w:color w:val="333333" w:themeColor="background1"/>
              </w:rPr>
              <w:t>Not on track – According to a recent CSEO analysis, Minnesota is not on track to meet 2015 or 2025 goals.</w:t>
            </w:r>
          </w:p>
        </w:tc>
      </w:tr>
      <w:tr w:rsidR="00B65A50" w:rsidRPr="00F041AD" w14:paraId="124C8B7B" w14:textId="77777777" w:rsidTr="001F63F9">
        <w:trPr>
          <w:trHeight w:val="317"/>
        </w:trPr>
        <w:tc>
          <w:tcPr>
            <w:tcW w:w="10368" w:type="dxa"/>
            <w:gridSpan w:val="3"/>
            <w:hideMark/>
          </w:tcPr>
          <w:p w14:paraId="3F6B4BED" w14:textId="77777777" w:rsidR="00B65A50" w:rsidRPr="00F041AD" w:rsidRDefault="00B65A50" w:rsidP="00F26F54">
            <w:pPr>
              <w:pStyle w:val="5BodyText"/>
              <w:keepNext/>
              <w:keepLines/>
              <w:rPr>
                <w:color w:val="333333" w:themeColor="background1"/>
              </w:rPr>
            </w:pPr>
            <w:r w:rsidRPr="00F041AD">
              <w:rPr>
                <w:b/>
                <w:bCs/>
                <w:color w:val="333333" w:themeColor="background1"/>
              </w:rPr>
              <w:t>Renewable Portfolio Standard (2007) (</w:t>
            </w:r>
            <w:hyperlink r:id="rId12" w:history="1">
              <w:r w:rsidRPr="00F041AD">
                <w:rPr>
                  <w:rStyle w:val="Hyperlink"/>
                  <w:b/>
                  <w:bCs/>
                  <w:color w:val="333333" w:themeColor="background1"/>
                </w:rPr>
                <w:t>M.S. 216B.1691</w:t>
              </w:r>
            </w:hyperlink>
            <w:r w:rsidRPr="00F041AD">
              <w:rPr>
                <w:b/>
                <w:bCs/>
                <w:color w:val="333333" w:themeColor="background1"/>
              </w:rPr>
              <w:t>)</w:t>
            </w:r>
          </w:p>
        </w:tc>
      </w:tr>
      <w:tr w:rsidR="00B65A50" w:rsidRPr="00F041AD" w14:paraId="71A0F9A8" w14:textId="77777777" w:rsidTr="001F63F9">
        <w:trPr>
          <w:trHeight w:val="483"/>
        </w:trPr>
        <w:tc>
          <w:tcPr>
            <w:tcW w:w="0" w:type="auto"/>
            <w:hideMark/>
          </w:tcPr>
          <w:p w14:paraId="1D8FB2FF" w14:textId="77777777" w:rsidR="00B65A50" w:rsidRPr="00F041AD" w:rsidRDefault="00B65A50" w:rsidP="00F26F54">
            <w:pPr>
              <w:pStyle w:val="5BodyText"/>
              <w:keepNext/>
              <w:keepLines/>
              <w:rPr>
                <w:color w:val="333333" w:themeColor="background1"/>
              </w:rPr>
            </w:pPr>
            <w:r w:rsidRPr="00F041AD">
              <w:rPr>
                <w:color w:val="333333" w:themeColor="background1"/>
              </w:rPr>
              <w:t>Renewable Electricity Standard</w:t>
            </w:r>
          </w:p>
        </w:tc>
        <w:tc>
          <w:tcPr>
            <w:tcW w:w="3332" w:type="dxa"/>
            <w:hideMark/>
          </w:tcPr>
          <w:p w14:paraId="2CD294CA" w14:textId="77777777" w:rsidR="00B65A50" w:rsidRPr="00F041AD" w:rsidRDefault="00B65A50" w:rsidP="00F26F54">
            <w:pPr>
              <w:pStyle w:val="5BodyText"/>
              <w:keepNext/>
              <w:keepLines/>
              <w:rPr>
                <w:color w:val="333333" w:themeColor="background1"/>
              </w:rPr>
            </w:pPr>
            <w:r w:rsidRPr="00F041AD">
              <w:rPr>
                <w:color w:val="333333" w:themeColor="background1"/>
              </w:rPr>
              <w:t>Derive 25 percent of retail electricity sold in the state from renewable resources by 2025</w:t>
            </w:r>
          </w:p>
        </w:tc>
        <w:tc>
          <w:tcPr>
            <w:tcW w:w="4680" w:type="dxa"/>
            <w:hideMark/>
          </w:tcPr>
          <w:p w14:paraId="25A2CD0C" w14:textId="2EC0221D" w:rsidR="00B65A50" w:rsidRPr="00F041AD" w:rsidRDefault="00B65A50" w:rsidP="00F26F54">
            <w:pPr>
              <w:pStyle w:val="5BodyText"/>
              <w:keepNext/>
              <w:keepLines/>
              <w:rPr>
                <w:color w:val="333333" w:themeColor="background1"/>
              </w:rPr>
            </w:pPr>
            <w:r w:rsidRPr="00F041AD">
              <w:rPr>
                <w:color w:val="333333" w:themeColor="background1"/>
              </w:rPr>
              <w:t>On track - Utilities retired Renewable Energy Credits (RECs) representing 14.8 percent of 2014 total retail sales in Minnesota</w:t>
            </w:r>
            <w:r w:rsidRPr="00F041AD">
              <w:rPr>
                <w:color w:val="333333" w:themeColor="background1"/>
                <w:vertAlign w:val="superscript"/>
              </w:rPr>
              <w:endnoteReference w:id="12"/>
            </w:r>
            <w:r w:rsidRPr="00F041AD">
              <w:rPr>
                <w:color w:val="333333" w:themeColor="background1"/>
              </w:rPr>
              <w:t>.  Utilities are planning for renewable generation to meet or exceed future RES milestones.</w:t>
            </w:r>
            <w:r w:rsidRPr="00F041AD">
              <w:rPr>
                <w:color w:val="333333" w:themeColor="background1"/>
                <w:vertAlign w:val="superscript"/>
              </w:rPr>
              <w:endnoteReference w:id="13"/>
            </w:r>
          </w:p>
        </w:tc>
      </w:tr>
      <w:tr w:rsidR="00B65A50" w:rsidRPr="00F041AD" w14:paraId="779E77C4" w14:textId="77777777" w:rsidTr="001F63F9">
        <w:trPr>
          <w:trHeight w:val="302"/>
        </w:trPr>
        <w:tc>
          <w:tcPr>
            <w:tcW w:w="10368" w:type="dxa"/>
            <w:gridSpan w:val="3"/>
            <w:hideMark/>
          </w:tcPr>
          <w:p w14:paraId="479699FE" w14:textId="77777777" w:rsidR="00B65A50" w:rsidRPr="00F041AD" w:rsidRDefault="00B65A50" w:rsidP="00F26F54">
            <w:pPr>
              <w:pStyle w:val="5BodyText"/>
              <w:keepNext/>
              <w:keepLines/>
              <w:rPr>
                <w:color w:val="333333" w:themeColor="background1"/>
              </w:rPr>
            </w:pPr>
            <w:r w:rsidRPr="00F041AD">
              <w:rPr>
                <w:b/>
                <w:bCs/>
                <w:color w:val="333333" w:themeColor="background1"/>
              </w:rPr>
              <w:t>Solar Electricity Standard (2013) (</w:t>
            </w:r>
            <w:hyperlink r:id="rId13" w:history="1">
              <w:r w:rsidRPr="00F041AD">
                <w:rPr>
                  <w:rStyle w:val="Hyperlink"/>
                  <w:b/>
                  <w:bCs/>
                  <w:color w:val="333333" w:themeColor="background1"/>
                </w:rPr>
                <w:t>M.S. 216B.1691</w:t>
              </w:r>
            </w:hyperlink>
            <w:r w:rsidRPr="00F041AD">
              <w:rPr>
                <w:b/>
                <w:bCs/>
                <w:color w:val="333333" w:themeColor="background1"/>
              </w:rPr>
              <w:t>)</w:t>
            </w:r>
          </w:p>
        </w:tc>
      </w:tr>
      <w:tr w:rsidR="00B65A50" w:rsidRPr="00F041AD" w14:paraId="2E6C4E5D" w14:textId="77777777" w:rsidTr="001F63F9">
        <w:trPr>
          <w:trHeight w:val="483"/>
        </w:trPr>
        <w:tc>
          <w:tcPr>
            <w:tcW w:w="0" w:type="auto"/>
            <w:hideMark/>
          </w:tcPr>
          <w:p w14:paraId="156599E2" w14:textId="77777777" w:rsidR="00B65A50" w:rsidRPr="00F041AD" w:rsidRDefault="00B65A50" w:rsidP="00F26F54">
            <w:pPr>
              <w:pStyle w:val="5BodyText"/>
              <w:keepNext/>
              <w:keepLines/>
              <w:rPr>
                <w:color w:val="333333" w:themeColor="background1"/>
              </w:rPr>
            </w:pPr>
            <w:r w:rsidRPr="00F041AD">
              <w:rPr>
                <w:color w:val="333333" w:themeColor="background1"/>
              </w:rPr>
              <w:t>Solar Electricity Production</w:t>
            </w:r>
          </w:p>
        </w:tc>
        <w:tc>
          <w:tcPr>
            <w:tcW w:w="3332" w:type="dxa"/>
            <w:hideMark/>
          </w:tcPr>
          <w:p w14:paraId="75CD3A5B" w14:textId="77777777" w:rsidR="00B65A50" w:rsidRPr="00F041AD" w:rsidRDefault="00B65A50" w:rsidP="00F26F54">
            <w:pPr>
              <w:pStyle w:val="5BodyText"/>
              <w:keepNext/>
              <w:keepLines/>
              <w:rPr>
                <w:color w:val="333333" w:themeColor="background1"/>
              </w:rPr>
            </w:pPr>
            <w:r w:rsidRPr="00F041AD">
              <w:rPr>
                <w:color w:val="333333" w:themeColor="background1"/>
              </w:rPr>
              <w:t>Generate 1.5 percent of public utility retail electricity sales from solar energy by 2020. Goal: Generate 10 percent of all retail electricity sales from solar energy by 2030</w:t>
            </w:r>
          </w:p>
        </w:tc>
        <w:tc>
          <w:tcPr>
            <w:tcW w:w="4680" w:type="dxa"/>
            <w:hideMark/>
          </w:tcPr>
          <w:p w14:paraId="5D44AB4B" w14:textId="77777777" w:rsidR="00B65A50" w:rsidRPr="00F041AD" w:rsidRDefault="00B65A50" w:rsidP="00F26F54">
            <w:pPr>
              <w:pStyle w:val="5BodyText"/>
              <w:keepNext/>
              <w:keepLines/>
              <w:rPr>
                <w:color w:val="333333" w:themeColor="background1"/>
              </w:rPr>
            </w:pPr>
            <w:r w:rsidRPr="00F041AD">
              <w:rPr>
                <w:color w:val="333333" w:themeColor="background1"/>
              </w:rPr>
              <w:t>On track – Utilities are planning for solar generation to meet or exceed the 1.5 percent standard.</w:t>
            </w:r>
          </w:p>
        </w:tc>
      </w:tr>
      <w:tr w:rsidR="00B65A50" w:rsidRPr="00F041AD" w14:paraId="064146BA" w14:textId="77777777" w:rsidTr="001F63F9">
        <w:trPr>
          <w:trHeight w:val="302"/>
        </w:trPr>
        <w:tc>
          <w:tcPr>
            <w:tcW w:w="10368" w:type="dxa"/>
            <w:gridSpan w:val="3"/>
            <w:hideMark/>
          </w:tcPr>
          <w:p w14:paraId="0C0711C4" w14:textId="77777777" w:rsidR="00B65A50" w:rsidRPr="00F041AD" w:rsidRDefault="00B65A50" w:rsidP="00F26F54">
            <w:pPr>
              <w:pStyle w:val="5BodyText"/>
              <w:keepNext/>
              <w:keepLines/>
              <w:rPr>
                <w:color w:val="333333" w:themeColor="background1"/>
              </w:rPr>
            </w:pPr>
            <w:r w:rsidRPr="00F041AD">
              <w:rPr>
                <w:b/>
                <w:bCs/>
                <w:color w:val="333333" w:themeColor="background1"/>
              </w:rPr>
              <w:t>Petroleum Replacement Goal (</w:t>
            </w:r>
            <w:hyperlink r:id="rId14" w:history="1">
              <w:r w:rsidRPr="00F041AD">
                <w:rPr>
                  <w:rStyle w:val="Hyperlink"/>
                  <w:b/>
                  <w:bCs/>
                  <w:color w:val="333333" w:themeColor="background1"/>
                </w:rPr>
                <w:t>M.S. 239.7911</w:t>
              </w:r>
            </w:hyperlink>
            <w:r w:rsidRPr="00F041AD">
              <w:rPr>
                <w:b/>
                <w:bCs/>
                <w:color w:val="333333" w:themeColor="background1"/>
              </w:rPr>
              <w:t>)</w:t>
            </w:r>
          </w:p>
        </w:tc>
      </w:tr>
      <w:tr w:rsidR="00B65A50" w:rsidRPr="00F041AD" w14:paraId="08076271" w14:textId="77777777" w:rsidTr="001F63F9">
        <w:trPr>
          <w:trHeight w:val="483"/>
        </w:trPr>
        <w:tc>
          <w:tcPr>
            <w:tcW w:w="0" w:type="auto"/>
            <w:hideMark/>
          </w:tcPr>
          <w:p w14:paraId="1142FBBB" w14:textId="77777777" w:rsidR="00B65A50" w:rsidRPr="00F041AD" w:rsidRDefault="00B65A50" w:rsidP="00F26F54">
            <w:pPr>
              <w:pStyle w:val="5BodyText"/>
              <w:keepNext/>
              <w:keepLines/>
              <w:rPr>
                <w:color w:val="333333" w:themeColor="background1"/>
              </w:rPr>
            </w:pPr>
            <w:r w:rsidRPr="00F041AD">
              <w:rPr>
                <w:color w:val="333333" w:themeColor="background1"/>
              </w:rPr>
              <w:t>Gasoline fuel content</w:t>
            </w:r>
          </w:p>
        </w:tc>
        <w:tc>
          <w:tcPr>
            <w:tcW w:w="3332" w:type="dxa"/>
            <w:hideMark/>
          </w:tcPr>
          <w:p w14:paraId="51BFE436" w14:textId="77777777" w:rsidR="00B65A50" w:rsidRPr="00F041AD" w:rsidRDefault="00B65A50" w:rsidP="00F26F54">
            <w:pPr>
              <w:pStyle w:val="5BodyText"/>
              <w:keepNext/>
              <w:keepLines/>
              <w:rPr>
                <w:color w:val="333333" w:themeColor="background1"/>
              </w:rPr>
            </w:pPr>
            <w:r w:rsidRPr="00F041AD">
              <w:rPr>
                <w:color w:val="333333" w:themeColor="background1"/>
              </w:rPr>
              <w:t xml:space="preserve">30% renewable fuels in total gasoline sold or offered by 2025 </w:t>
            </w:r>
          </w:p>
        </w:tc>
        <w:tc>
          <w:tcPr>
            <w:tcW w:w="4680" w:type="dxa"/>
            <w:hideMark/>
          </w:tcPr>
          <w:p w14:paraId="49A2DD0F" w14:textId="77777777" w:rsidR="00B65A50" w:rsidRPr="00F041AD" w:rsidRDefault="00B65A50" w:rsidP="00F26F54">
            <w:pPr>
              <w:pStyle w:val="5BodyText"/>
              <w:keepNext/>
              <w:keepLines/>
              <w:rPr>
                <w:color w:val="333333" w:themeColor="background1"/>
              </w:rPr>
            </w:pPr>
          </w:p>
        </w:tc>
      </w:tr>
      <w:tr w:rsidR="00B65A50" w:rsidRPr="00F041AD" w14:paraId="3AF42EC2" w14:textId="77777777" w:rsidTr="001F63F9">
        <w:trPr>
          <w:trHeight w:val="407"/>
        </w:trPr>
        <w:tc>
          <w:tcPr>
            <w:tcW w:w="10368" w:type="dxa"/>
            <w:gridSpan w:val="3"/>
            <w:hideMark/>
          </w:tcPr>
          <w:p w14:paraId="1E58424C" w14:textId="77777777" w:rsidR="00B65A50" w:rsidRPr="00F041AD" w:rsidRDefault="00B65A50" w:rsidP="00F26F54">
            <w:pPr>
              <w:pStyle w:val="5BodyText"/>
              <w:keepNext/>
              <w:keepLines/>
              <w:rPr>
                <w:color w:val="333333" w:themeColor="background1"/>
              </w:rPr>
            </w:pPr>
            <w:r w:rsidRPr="00F041AD">
              <w:rPr>
                <w:b/>
                <w:bCs/>
                <w:color w:val="333333" w:themeColor="background1"/>
              </w:rPr>
              <w:t>Biofuel Content Mandate (</w:t>
            </w:r>
            <w:hyperlink r:id="rId15" w:history="1">
              <w:r w:rsidRPr="00F041AD">
                <w:rPr>
                  <w:rStyle w:val="Hyperlink"/>
                  <w:b/>
                  <w:bCs/>
                  <w:color w:val="333333" w:themeColor="background1"/>
                </w:rPr>
                <w:t>M.S. 239.791</w:t>
              </w:r>
            </w:hyperlink>
            <w:r w:rsidRPr="00F041AD">
              <w:rPr>
                <w:b/>
                <w:bCs/>
                <w:color w:val="333333" w:themeColor="background1"/>
              </w:rPr>
              <w:t>)</w:t>
            </w:r>
          </w:p>
        </w:tc>
      </w:tr>
      <w:tr w:rsidR="00B65A50" w:rsidRPr="00F041AD" w14:paraId="730341C7" w14:textId="77777777" w:rsidTr="001F63F9">
        <w:trPr>
          <w:trHeight w:val="483"/>
        </w:trPr>
        <w:tc>
          <w:tcPr>
            <w:tcW w:w="0" w:type="auto"/>
            <w:hideMark/>
          </w:tcPr>
          <w:p w14:paraId="44B29773" w14:textId="77777777" w:rsidR="00B65A50" w:rsidRPr="00F041AD" w:rsidRDefault="00B65A50" w:rsidP="00F26F54">
            <w:pPr>
              <w:pStyle w:val="5BodyText"/>
              <w:keepNext/>
              <w:keepLines/>
              <w:rPr>
                <w:color w:val="333333" w:themeColor="background1"/>
              </w:rPr>
            </w:pPr>
            <w:r w:rsidRPr="00F041AD">
              <w:rPr>
                <w:color w:val="333333" w:themeColor="background1"/>
              </w:rPr>
              <w:t>Gasoline fuel content</w:t>
            </w:r>
          </w:p>
        </w:tc>
        <w:tc>
          <w:tcPr>
            <w:tcW w:w="3332" w:type="dxa"/>
            <w:hideMark/>
          </w:tcPr>
          <w:p w14:paraId="126901DA" w14:textId="77777777" w:rsidR="00B65A50" w:rsidRPr="00F041AD" w:rsidRDefault="00B65A50" w:rsidP="00F26F54">
            <w:pPr>
              <w:pStyle w:val="5BodyText"/>
              <w:keepNext/>
              <w:keepLines/>
              <w:rPr>
                <w:color w:val="333333" w:themeColor="background1"/>
              </w:rPr>
            </w:pPr>
            <w:r w:rsidRPr="00F041AD">
              <w:rPr>
                <w:color w:val="333333" w:themeColor="background1"/>
              </w:rPr>
              <w:t xml:space="preserve">10% ethanol or other approved biofuel in all gasoline fuel sold or offered </w:t>
            </w:r>
          </w:p>
        </w:tc>
        <w:tc>
          <w:tcPr>
            <w:tcW w:w="4680" w:type="dxa"/>
            <w:hideMark/>
          </w:tcPr>
          <w:p w14:paraId="6178D153" w14:textId="77777777" w:rsidR="00B65A50" w:rsidRPr="00F041AD" w:rsidRDefault="00B65A50" w:rsidP="00F26F54">
            <w:pPr>
              <w:pStyle w:val="5BodyText"/>
              <w:keepNext/>
              <w:keepLines/>
              <w:rPr>
                <w:color w:val="333333" w:themeColor="background1"/>
              </w:rPr>
            </w:pPr>
          </w:p>
        </w:tc>
      </w:tr>
      <w:tr w:rsidR="00B65A50" w:rsidRPr="00F041AD" w14:paraId="0811D0B6" w14:textId="77777777" w:rsidTr="001F63F9">
        <w:trPr>
          <w:trHeight w:val="347"/>
        </w:trPr>
        <w:tc>
          <w:tcPr>
            <w:tcW w:w="10368" w:type="dxa"/>
            <w:gridSpan w:val="3"/>
            <w:hideMark/>
          </w:tcPr>
          <w:p w14:paraId="5EFF6D52" w14:textId="77777777" w:rsidR="00B65A50" w:rsidRPr="00F041AD" w:rsidRDefault="00B65A50" w:rsidP="00F26F54">
            <w:pPr>
              <w:pStyle w:val="5BodyText"/>
              <w:keepNext/>
              <w:keepLines/>
              <w:rPr>
                <w:color w:val="333333" w:themeColor="background1"/>
              </w:rPr>
            </w:pPr>
            <w:r w:rsidRPr="00F041AD">
              <w:rPr>
                <w:b/>
                <w:bCs/>
                <w:color w:val="333333" w:themeColor="background1"/>
              </w:rPr>
              <w:t>Biodiesel Content Mandate (</w:t>
            </w:r>
            <w:hyperlink r:id="rId16" w:history="1">
              <w:r w:rsidRPr="00F041AD">
                <w:rPr>
                  <w:rStyle w:val="Hyperlink"/>
                  <w:b/>
                  <w:bCs/>
                  <w:color w:val="333333" w:themeColor="background1"/>
                </w:rPr>
                <w:t>M.S. 297.77</w:t>
              </w:r>
            </w:hyperlink>
            <w:r w:rsidRPr="00F041AD">
              <w:rPr>
                <w:b/>
                <w:bCs/>
                <w:color w:val="333333" w:themeColor="background1"/>
              </w:rPr>
              <w:t>)</w:t>
            </w:r>
          </w:p>
        </w:tc>
      </w:tr>
      <w:tr w:rsidR="00B65A50" w:rsidRPr="00F041AD" w14:paraId="46B58C08" w14:textId="77777777" w:rsidTr="001F63F9">
        <w:trPr>
          <w:trHeight w:val="483"/>
        </w:trPr>
        <w:tc>
          <w:tcPr>
            <w:tcW w:w="0" w:type="auto"/>
            <w:hideMark/>
          </w:tcPr>
          <w:p w14:paraId="2E809B81" w14:textId="77777777" w:rsidR="00B65A50" w:rsidRPr="00F041AD" w:rsidRDefault="00B65A50" w:rsidP="00F26F54">
            <w:pPr>
              <w:pStyle w:val="5BodyText"/>
              <w:keepNext/>
              <w:keepLines/>
              <w:rPr>
                <w:color w:val="333333" w:themeColor="background1"/>
              </w:rPr>
            </w:pPr>
            <w:r w:rsidRPr="00F041AD">
              <w:rPr>
                <w:color w:val="333333" w:themeColor="background1"/>
              </w:rPr>
              <w:t>Diesel fuel content</w:t>
            </w:r>
          </w:p>
        </w:tc>
        <w:tc>
          <w:tcPr>
            <w:tcW w:w="3332" w:type="dxa"/>
            <w:hideMark/>
          </w:tcPr>
          <w:p w14:paraId="16DA5EFC" w14:textId="77777777" w:rsidR="00B65A50" w:rsidRPr="00F041AD" w:rsidRDefault="00B65A50" w:rsidP="00F26F54">
            <w:pPr>
              <w:pStyle w:val="5BodyText"/>
              <w:keepNext/>
              <w:keepLines/>
              <w:rPr>
                <w:color w:val="333333" w:themeColor="background1"/>
              </w:rPr>
            </w:pPr>
            <w:r w:rsidRPr="00F041AD">
              <w:rPr>
                <w:color w:val="333333" w:themeColor="background1"/>
              </w:rPr>
              <w:t>20% biodiesel in all diesel fuel sold or offered by 2018</w:t>
            </w:r>
          </w:p>
        </w:tc>
        <w:tc>
          <w:tcPr>
            <w:tcW w:w="4680" w:type="dxa"/>
            <w:hideMark/>
          </w:tcPr>
          <w:p w14:paraId="527AA916" w14:textId="04ED96E5" w:rsidR="00B65A50" w:rsidRPr="00F041AD" w:rsidRDefault="00B65A50" w:rsidP="00F26F54">
            <w:pPr>
              <w:pStyle w:val="5BodyText"/>
              <w:keepNext/>
              <w:keepLines/>
              <w:rPr>
                <w:color w:val="333333" w:themeColor="background1"/>
              </w:rPr>
            </w:pPr>
            <w:r w:rsidRPr="00F041AD">
              <w:rPr>
                <w:color w:val="333333" w:themeColor="background1"/>
              </w:rPr>
              <w:t>Caution – Minnesota’s existing capacity can provide 55% of biodiesel to meet its 20 percent target.</w:t>
            </w:r>
            <w:r w:rsidRPr="00F041AD">
              <w:rPr>
                <w:color w:val="333333" w:themeColor="background1"/>
                <w:vertAlign w:val="superscript"/>
              </w:rPr>
              <w:endnoteReference w:id="14"/>
            </w:r>
            <w:r w:rsidR="00786C39">
              <w:rPr>
                <w:color w:val="333333" w:themeColor="background1"/>
              </w:rPr>
              <w:t xml:space="preserve"> </w:t>
            </w:r>
            <w:r w:rsidRPr="00F041AD">
              <w:rPr>
                <w:color w:val="333333" w:themeColor="background1"/>
                <w:vertAlign w:val="superscript"/>
              </w:rPr>
              <w:endnoteReference w:id="15"/>
            </w:r>
          </w:p>
        </w:tc>
      </w:tr>
    </w:tbl>
    <w:p w14:paraId="38FCFCD6" w14:textId="5C7C703D" w:rsidR="00B65A50" w:rsidRPr="00F041AD" w:rsidRDefault="00B65A50" w:rsidP="007F3F44">
      <w:pPr>
        <w:pStyle w:val="6BodyHighlight"/>
        <w:rPr>
          <w:color w:val="333333" w:themeColor="background1"/>
        </w:rPr>
      </w:pPr>
      <w:bookmarkStart w:id="29" w:name="_Toc322961584"/>
      <w:r w:rsidRPr="00F041AD">
        <w:rPr>
          <w:color w:val="333333" w:themeColor="background1"/>
        </w:rPr>
        <w:lastRenderedPageBreak/>
        <w:t>Abundant near-term opportunities</w:t>
      </w:r>
      <w:bookmarkEnd w:id="29"/>
    </w:p>
    <w:p w14:paraId="422D3A2E" w14:textId="77777777" w:rsidR="00B65A50" w:rsidRPr="00F041AD" w:rsidRDefault="00B65A50" w:rsidP="00ED21EA">
      <w:pPr>
        <w:pStyle w:val="5BodyText"/>
        <w:rPr>
          <w:color w:val="333333" w:themeColor="background1"/>
        </w:rPr>
      </w:pPr>
      <w:r w:rsidRPr="00F041AD">
        <w:rPr>
          <w:color w:val="333333" w:themeColor="background1"/>
        </w:rPr>
        <w:t xml:space="preserve">Importantly, strategies in this Action Plan do not require an act of Congress or additional legislation to be successful; strategies can be advanced immediately, either individually or in tandem. Within each strategy, cross-sector opportunities and related initiatives are identified. Dedicated leadership will be critical to the success of the Action Plan. Each strategy has a defined champion and key participants to move it forward over the next ten years. </w:t>
      </w:r>
    </w:p>
    <w:p w14:paraId="5C1DCB61" w14:textId="77777777" w:rsidR="00B65A50" w:rsidRPr="00F041AD" w:rsidRDefault="00B65A50" w:rsidP="00ED21EA">
      <w:pPr>
        <w:pStyle w:val="5BodyText"/>
        <w:rPr>
          <w:color w:val="333333" w:themeColor="background1"/>
        </w:rPr>
      </w:pPr>
    </w:p>
    <w:p w14:paraId="7E102BD1" w14:textId="56DDF035" w:rsidR="00B65A50" w:rsidRPr="00F041AD" w:rsidRDefault="00B65A50" w:rsidP="00ED21EA">
      <w:pPr>
        <w:pStyle w:val="5BodyText"/>
        <w:rPr>
          <w:color w:val="333333" w:themeColor="background1"/>
        </w:rPr>
      </w:pPr>
      <w:r w:rsidRPr="00F041AD">
        <w:rPr>
          <w:color w:val="333333" w:themeColor="background1"/>
        </w:rPr>
        <w:t xml:space="preserve">Ultimately, the 2025 Energy Action Plan seeks to help Minnesota prepare for a changing energy landscape and take full advantage of the opportunities available today. The Action Plan aims to assist Minnesota in fulfilling—and in some cases, even exceeding—its energy policies and goals, and in so doing, advance a clean, efficient energy system for all Minnesotans. The strategies fall into five categories, which are summarized below: </w:t>
      </w:r>
      <w:bookmarkStart w:id="30" w:name="h.30j0zll" w:colFirst="0" w:colLast="0"/>
      <w:bookmarkStart w:id="31" w:name="h.1fob9te" w:colFirst="0" w:colLast="0"/>
      <w:bookmarkStart w:id="32" w:name="h.3znysh7" w:colFirst="0" w:colLast="0"/>
      <w:bookmarkStart w:id="33" w:name="h.2et92p0" w:colFirst="0" w:colLast="0"/>
      <w:bookmarkStart w:id="34" w:name="h.tyjcwt" w:colFirst="0" w:colLast="0"/>
      <w:bookmarkEnd w:id="30"/>
      <w:bookmarkEnd w:id="31"/>
      <w:bookmarkEnd w:id="32"/>
      <w:bookmarkEnd w:id="33"/>
      <w:bookmarkEnd w:id="34"/>
    </w:p>
    <w:p w14:paraId="4D6DDA20" w14:textId="3EE83850" w:rsidR="00B65A50" w:rsidRPr="00F041AD" w:rsidRDefault="00B65A50" w:rsidP="001D1907">
      <w:pPr>
        <w:pStyle w:val="5BodyText"/>
        <w:numPr>
          <w:ilvl w:val="0"/>
          <w:numId w:val="2"/>
        </w:numPr>
        <w:rPr>
          <w:color w:val="333333" w:themeColor="background1"/>
        </w:rPr>
      </w:pPr>
      <w:r w:rsidRPr="00F041AD">
        <w:rPr>
          <w:color w:val="333333" w:themeColor="background1"/>
        </w:rPr>
        <w:t xml:space="preserve">Transportation; </w:t>
      </w:r>
    </w:p>
    <w:p w14:paraId="0A55D85E" w14:textId="410F97CF" w:rsidR="00B65A50" w:rsidRPr="00F041AD" w:rsidRDefault="00B65A50" w:rsidP="001D1907">
      <w:pPr>
        <w:pStyle w:val="5BodyText"/>
        <w:numPr>
          <w:ilvl w:val="0"/>
          <w:numId w:val="2"/>
        </w:numPr>
        <w:rPr>
          <w:color w:val="333333" w:themeColor="background1"/>
        </w:rPr>
      </w:pPr>
      <w:r w:rsidRPr="00F041AD">
        <w:rPr>
          <w:color w:val="333333" w:themeColor="background1"/>
        </w:rPr>
        <w:t xml:space="preserve">Energy supply and grid modernization; </w:t>
      </w:r>
    </w:p>
    <w:p w14:paraId="1A5A405A" w14:textId="77B7DED6" w:rsidR="00B65A50" w:rsidRPr="00F041AD" w:rsidRDefault="00B65A50" w:rsidP="001D1907">
      <w:pPr>
        <w:pStyle w:val="5BodyText"/>
        <w:numPr>
          <w:ilvl w:val="0"/>
          <w:numId w:val="2"/>
        </w:numPr>
        <w:rPr>
          <w:color w:val="333333" w:themeColor="background1"/>
        </w:rPr>
      </w:pPr>
      <w:r w:rsidRPr="00F041AD">
        <w:rPr>
          <w:color w:val="333333" w:themeColor="background1"/>
        </w:rPr>
        <w:t xml:space="preserve">Efficient buildings and integrated energy systems; </w:t>
      </w:r>
    </w:p>
    <w:p w14:paraId="13638B00" w14:textId="439E9716" w:rsidR="00B65A50" w:rsidRPr="00F041AD" w:rsidRDefault="00B65A50" w:rsidP="001D1907">
      <w:pPr>
        <w:pStyle w:val="5BodyText"/>
        <w:numPr>
          <w:ilvl w:val="0"/>
          <w:numId w:val="2"/>
        </w:numPr>
        <w:rPr>
          <w:color w:val="333333" w:themeColor="background1"/>
        </w:rPr>
      </w:pPr>
      <w:r w:rsidRPr="00F041AD">
        <w:rPr>
          <w:color w:val="333333" w:themeColor="background1"/>
        </w:rPr>
        <w:t xml:space="preserve">Industry and agriculture; and </w:t>
      </w:r>
    </w:p>
    <w:p w14:paraId="6CD82B5B" w14:textId="2B0942BE" w:rsidR="00B65A50" w:rsidRPr="00F041AD" w:rsidRDefault="00B65A50" w:rsidP="001D1907">
      <w:pPr>
        <w:pStyle w:val="5BodyText"/>
        <w:numPr>
          <w:ilvl w:val="0"/>
          <w:numId w:val="2"/>
        </w:numPr>
        <w:rPr>
          <w:color w:val="333333" w:themeColor="background1"/>
        </w:rPr>
      </w:pPr>
      <w:r w:rsidRPr="00F041AD">
        <w:rPr>
          <w:color w:val="333333" w:themeColor="background1"/>
        </w:rPr>
        <w:t>Local planning and action.</w:t>
      </w:r>
    </w:p>
    <w:p w14:paraId="3C043047" w14:textId="77777777" w:rsidR="00B65A50" w:rsidRPr="00F041AD" w:rsidRDefault="00B65A50" w:rsidP="00ED21EA">
      <w:pPr>
        <w:pStyle w:val="5BodyText"/>
        <w:rPr>
          <w:color w:val="333333" w:themeColor="background1"/>
        </w:rPr>
      </w:pPr>
    </w:p>
    <w:p w14:paraId="71FF0B3D" w14:textId="36E29DAF" w:rsidR="00B65A50" w:rsidRPr="00F041AD" w:rsidRDefault="00B65A50" w:rsidP="007F3F44">
      <w:pPr>
        <w:pStyle w:val="6BodyHighlight"/>
        <w:rPr>
          <w:color w:val="333333" w:themeColor="background1"/>
        </w:rPr>
      </w:pPr>
      <w:bookmarkStart w:id="35" w:name="_Toc322961585"/>
      <w:r w:rsidRPr="00F041AD">
        <w:rPr>
          <w:color w:val="333333" w:themeColor="background1"/>
        </w:rPr>
        <w:t>Transportation</w:t>
      </w:r>
      <w:bookmarkEnd w:id="35"/>
    </w:p>
    <w:p w14:paraId="52A0BC93" w14:textId="48B7E550" w:rsidR="00B65A50" w:rsidRPr="00F041AD" w:rsidRDefault="00B65A50" w:rsidP="00ED21EA">
      <w:pPr>
        <w:pStyle w:val="5BodyText"/>
        <w:rPr>
          <w:color w:val="333333" w:themeColor="background1"/>
        </w:rPr>
      </w:pPr>
      <w:r w:rsidRPr="00F041AD">
        <w:rPr>
          <w:color w:val="333333" w:themeColor="background1"/>
        </w:rPr>
        <w:t>In 2014, Minnesotans spent $11 billion on transportation fuels,</w:t>
      </w:r>
      <w:r w:rsidRPr="00F041AD">
        <w:rPr>
          <w:rStyle w:val="EndnoteReference"/>
          <w:rFonts w:asciiTheme="minorHAnsi" w:hAnsiTheme="minorHAnsi"/>
          <w:color w:val="333333" w:themeColor="background1"/>
        </w:rPr>
        <w:endnoteReference w:id="16"/>
      </w:r>
      <w:r w:rsidRPr="00F041AD">
        <w:rPr>
          <w:color w:val="333333" w:themeColor="background1"/>
        </w:rPr>
        <w:t xml:space="preserve"> the majority of which are imported from out of state. The opportunity to keep transportation fuel dollars in the start and increase the sector’s clean energy footprint is significant. Stakeholders’ recommendations for the transportation sector fall into two key categories: electric vehicles and alternative fuel vehicles. </w:t>
      </w:r>
    </w:p>
    <w:p w14:paraId="7B6F3BD9" w14:textId="77777777" w:rsidR="00B65A50" w:rsidRPr="00F041AD" w:rsidRDefault="00B65A50" w:rsidP="00ED21EA">
      <w:pPr>
        <w:pStyle w:val="5BodyText"/>
        <w:rPr>
          <w:color w:val="333333" w:themeColor="background1"/>
        </w:rPr>
      </w:pPr>
    </w:p>
    <w:p w14:paraId="4B6A814F" w14:textId="10598283" w:rsidR="00B65A50" w:rsidRPr="00F041AD" w:rsidRDefault="00B65A50" w:rsidP="00ED21EA">
      <w:pPr>
        <w:pStyle w:val="5BodyText"/>
        <w:rPr>
          <w:color w:val="333333" w:themeColor="background1"/>
        </w:rPr>
      </w:pPr>
      <w:r w:rsidRPr="00F041AD">
        <w:rPr>
          <w:b/>
          <w:color w:val="333333" w:themeColor="background1"/>
        </w:rPr>
        <w:t>Electric vehicles</w:t>
      </w:r>
      <w:r w:rsidRPr="00F041AD">
        <w:rPr>
          <w:color w:val="333333" w:themeColor="background1"/>
        </w:rPr>
        <w:t xml:space="preserve"> (EVs) offer reduced fuel and operations and maintenance costs, as well as decreased air pollution, and are becoming more cost-effective. Stakeholders recommended the following strategies related to EVs:</w:t>
      </w:r>
    </w:p>
    <w:p w14:paraId="3EE93B08" w14:textId="77777777" w:rsidR="00B65A50" w:rsidRPr="00F041AD" w:rsidRDefault="00B65A50" w:rsidP="00ED21EA">
      <w:pPr>
        <w:pStyle w:val="5BodyText"/>
        <w:rPr>
          <w:color w:val="333333" w:themeColor="background1"/>
          <w:sz w:val="16"/>
          <w:szCs w:val="16"/>
        </w:rPr>
      </w:pPr>
    </w:p>
    <w:p w14:paraId="4FEF854C" w14:textId="77777777" w:rsidR="00B65A50" w:rsidRPr="00F041AD" w:rsidRDefault="00B65A50" w:rsidP="001D1907">
      <w:pPr>
        <w:pStyle w:val="5BodyText"/>
        <w:numPr>
          <w:ilvl w:val="0"/>
          <w:numId w:val="5"/>
        </w:numPr>
        <w:rPr>
          <w:i/>
          <w:color w:val="333333" w:themeColor="background1"/>
        </w:rPr>
      </w:pPr>
      <w:r w:rsidRPr="00F041AD">
        <w:rPr>
          <w:b/>
          <w:color w:val="333333" w:themeColor="background1"/>
        </w:rPr>
        <w:t>Increasing adoption of personal electric vehicles</w:t>
      </w:r>
      <w:r w:rsidRPr="00F041AD">
        <w:rPr>
          <w:color w:val="333333" w:themeColor="background1"/>
        </w:rPr>
        <w:t xml:space="preserve"> through bulk discount arrangements, incentives for new EV purchases, and expanded workplace charging; </w:t>
      </w:r>
    </w:p>
    <w:p w14:paraId="32D98708" w14:textId="77777777" w:rsidR="00B65A50" w:rsidRPr="00F041AD" w:rsidRDefault="00B65A50" w:rsidP="001D1907">
      <w:pPr>
        <w:pStyle w:val="5BodyText"/>
        <w:numPr>
          <w:ilvl w:val="0"/>
          <w:numId w:val="5"/>
        </w:numPr>
        <w:rPr>
          <w:color w:val="333333" w:themeColor="background1"/>
        </w:rPr>
      </w:pPr>
      <w:r w:rsidRPr="00F041AD">
        <w:rPr>
          <w:b/>
          <w:color w:val="333333" w:themeColor="background1"/>
        </w:rPr>
        <w:t>Encouraging electric vehicles in fleets</w:t>
      </w:r>
      <w:r w:rsidRPr="00F041AD">
        <w:rPr>
          <w:color w:val="333333" w:themeColor="background1"/>
        </w:rPr>
        <w:t xml:space="preserve"> by creating a bulk purchase arrangement and convening an EV procurement workshop for fleet managers; and</w:t>
      </w:r>
    </w:p>
    <w:p w14:paraId="5E1E1040" w14:textId="77777777" w:rsidR="00B65A50" w:rsidRPr="00F041AD" w:rsidRDefault="00B65A50" w:rsidP="001D1907">
      <w:pPr>
        <w:pStyle w:val="5BodyText"/>
        <w:numPr>
          <w:ilvl w:val="0"/>
          <w:numId w:val="5"/>
        </w:numPr>
        <w:rPr>
          <w:color w:val="333333" w:themeColor="background1"/>
        </w:rPr>
      </w:pPr>
      <w:r w:rsidRPr="00F041AD">
        <w:rPr>
          <w:b/>
          <w:color w:val="333333" w:themeColor="background1"/>
        </w:rPr>
        <w:t xml:space="preserve">Promoting electric buses </w:t>
      </w:r>
      <w:r w:rsidRPr="00F041AD">
        <w:rPr>
          <w:color w:val="333333" w:themeColor="background1"/>
        </w:rPr>
        <w:t>by validating lifecycle cost studies and demonstrating electric buses on urban and suburban transit routes.</w:t>
      </w:r>
    </w:p>
    <w:p w14:paraId="426258FE" w14:textId="77777777" w:rsidR="00B65A50" w:rsidRPr="00F041AD" w:rsidRDefault="00B65A50" w:rsidP="00ED21EA">
      <w:pPr>
        <w:pStyle w:val="5BodyText"/>
        <w:rPr>
          <w:color w:val="333333" w:themeColor="background1"/>
        </w:rPr>
      </w:pPr>
    </w:p>
    <w:p w14:paraId="6BEE960D" w14:textId="54F08BC5" w:rsidR="00B65A50" w:rsidRPr="00F041AD" w:rsidRDefault="00B65A50" w:rsidP="00ED21EA">
      <w:pPr>
        <w:pStyle w:val="5BodyText"/>
        <w:rPr>
          <w:color w:val="333333" w:themeColor="background1"/>
        </w:rPr>
      </w:pPr>
      <w:r w:rsidRPr="00F041AD">
        <w:rPr>
          <w:b/>
          <w:color w:val="333333" w:themeColor="background1"/>
        </w:rPr>
        <w:lastRenderedPageBreak/>
        <w:t>Alternative fuel vehicles</w:t>
      </w:r>
      <w:r w:rsidRPr="00F041AD">
        <w:rPr>
          <w:color w:val="333333" w:themeColor="background1"/>
        </w:rPr>
        <w:t xml:space="preserve"> (AFVs) are also an attractive transportation option. AFVs can bolster the state economy, since their fuel sources can be produced in Minnesota. Their carbon emissions are lower than conventional vehicles, and they offer longer ranges than electric vehicles. Stakeholders recommended:</w:t>
      </w:r>
    </w:p>
    <w:p w14:paraId="2B2ED68A" w14:textId="77777777" w:rsidR="00B65A50" w:rsidRPr="00F041AD" w:rsidRDefault="00B65A50" w:rsidP="00ED21EA">
      <w:pPr>
        <w:pStyle w:val="5BodyText"/>
        <w:rPr>
          <w:color w:val="333333" w:themeColor="background1"/>
        </w:rPr>
      </w:pPr>
    </w:p>
    <w:p w14:paraId="553A4129" w14:textId="3AFF69BC" w:rsidR="00B65A50" w:rsidRPr="00F041AD" w:rsidRDefault="00B65A50" w:rsidP="001D1907">
      <w:pPr>
        <w:pStyle w:val="5BodyText"/>
        <w:numPr>
          <w:ilvl w:val="0"/>
          <w:numId w:val="4"/>
        </w:numPr>
        <w:rPr>
          <w:color w:val="333333" w:themeColor="background1"/>
        </w:rPr>
      </w:pPr>
      <w:r w:rsidRPr="00F041AD">
        <w:rPr>
          <w:b/>
          <w:color w:val="333333" w:themeColor="background1"/>
        </w:rPr>
        <w:t>Increasing adoption of heavy-duty alternative-fuel vehicles</w:t>
      </w:r>
      <w:r w:rsidRPr="00F041AD">
        <w:rPr>
          <w:color w:val="333333" w:themeColor="background1"/>
        </w:rPr>
        <w:t xml:space="preserve"> that use natural gas from anaerobic digestion as a fuel source.</w:t>
      </w:r>
    </w:p>
    <w:p w14:paraId="605F2622" w14:textId="77777777" w:rsidR="00B65A50" w:rsidRPr="00F041AD" w:rsidRDefault="00B65A50" w:rsidP="00ED21EA">
      <w:pPr>
        <w:pStyle w:val="5BodyText"/>
        <w:rPr>
          <w:color w:val="333333" w:themeColor="background1"/>
        </w:rPr>
      </w:pPr>
    </w:p>
    <w:p w14:paraId="3E1BCC1A" w14:textId="527F5FF9" w:rsidR="00B65A50" w:rsidRPr="00F041AD" w:rsidRDefault="00B65A50" w:rsidP="007F3F44">
      <w:pPr>
        <w:pStyle w:val="6BodyHighlight"/>
        <w:rPr>
          <w:color w:val="333333" w:themeColor="background1"/>
        </w:rPr>
      </w:pPr>
      <w:bookmarkStart w:id="36" w:name="_Toc322961586"/>
      <w:r w:rsidRPr="00F041AD">
        <w:rPr>
          <w:color w:val="333333" w:themeColor="background1"/>
        </w:rPr>
        <w:t>Energy supply and grid modernization</w:t>
      </w:r>
      <w:bookmarkEnd w:id="36"/>
    </w:p>
    <w:p w14:paraId="5BE6EA2F" w14:textId="77777777" w:rsidR="00B65A50" w:rsidRPr="00F041AD" w:rsidRDefault="00B65A50" w:rsidP="00D5651B">
      <w:pPr>
        <w:pStyle w:val="5BodyText"/>
        <w:rPr>
          <w:color w:val="333333" w:themeColor="background1"/>
        </w:rPr>
      </w:pPr>
      <w:r w:rsidRPr="00F041AD">
        <w:rPr>
          <w:color w:val="333333" w:themeColor="background1"/>
        </w:rPr>
        <w:t>Electricity generation in Minnesota accounts for 29 percent of total energy use in the state, with the majority coming from coal.</w:t>
      </w:r>
      <w:r w:rsidRPr="00F041AD">
        <w:rPr>
          <w:color w:val="333333" w:themeColor="background1"/>
          <w:vertAlign w:val="superscript"/>
        </w:rPr>
        <w:endnoteReference w:id="17"/>
      </w:r>
      <w:r w:rsidRPr="00F041AD">
        <w:rPr>
          <w:color w:val="333333" w:themeColor="background1"/>
        </w:rPr>
        <w:t xml:space="preserve"> Minnesota has abundant, clean wind and solar resources, and in 2015, 21 percent of the state’s electricity came from renewable energy.</w:t>
      </w:r>
      <w:r w:rsidRPr="00F041AD">
        <w:rPr>
          <w:color w:val="333333" w:themeColor="background1"/>
          <w:vertAlign w:val="superscript"/>
        </w:rPr>
        <w:endnoteReference w:id="18"/>
      </w:r>
      <w:r w:rsidRPr="00F041AD">
        <w:rPr>
          <w:color w:val="333333" w:themeColor="background1"/>
        </w:rPr>
        <w:t xml:space="preserve"> </w:t>
      </w:r>
    </w:p>
    <w:p w14:paraId="44B2E471" w14:textId="77777777" w:rsidR="00B65A50" w:rsidRPr="00F041AD" w:rsidRDefault="00B65A50" w:rsidP="00D5651B">
      <w:pPr>
        <w:pStyle w:val="5BodyText"/>
        <w:rPr>
          <w:color w:val="333333" w:themeColor="background1"/>
        </w:rPr>
      </w:pPr>
    </w:p>
    <w:p w14:paraId="1DF294F3" w14:textId="77777777" w:rsidR="00B65A50" w:rsidRPr="00F041AD" w:rsidRDefault="00B65A50" w:rsidP="00D5651B">
      <w:pPr>
        <w:pStyle w:val="5BodyText"/>
        <w:rPr>
          <w:color w:val="333333" w:themeColor="background1"/>
        </w:rPr>
      </w:pPr>
      <w:r w:rsidRPr="00F041AD">
        <w:rPr>
          <w:color w:val="333333" w:themeColor="background1"/>
        </w:rPr>
        <w:t>In order to promote local resources and keep additional energy dollars in the state, Minnesota can effectively integrate additional clean energy resources onto the grid, and establish pricing signals that more accurately capture the cost of electricity generation. Stakeholders’ recommendations for the energy supply sector fall into two key categories: grid modernization and pricing and tariffs.</w:t>
      </w:r>
    </w:p>
    <w:p w14:paraId="7E48F634" w14:textId="77777777" w:rsidR="00B65A50" w:rsidRPr="00F041AD" w:rsidRDefault="00B65A50" w:rsidP="00D5651B">
      <w:pPr>
        <w:pStyle w:val="5BodyText"/>
        <w:rPr>
          <w:color w:val="333333" w:themeColor="background1"/>
        </w:rPr>
      </w:pPr>
    </w:p>
    <w:p w14:paraId="501A377A" w14:textId="77777777" w:rsidR="00B65A50" w:rsidRPr="00F041AD" w:rsidRDefault="00B65A50" w:rsidP="00D5651B">
      <w:pPr>
        <w:pStyle w:val="5BodyText"/>
        <w:rPr>
          <w:color w:val="333333" w:themeColor="background1"/>
        </w:rPr>
      </w:pPr>
      <w:r w:rsidRPr="00F041AD">
        <w:rPr>
          <w:b/>
          <w:color w:val="333333" w:themeColor="background1"/>
        </w:rPr>
        <w:t>Modernizing the grid</w:t>
      </w:r>
      <w:r w:rsidRPr="00F041AD">
        <w:rPr>
          <w:color w:val="333333" w:themeColor="background1"/>
        </w:rPr>
        <w:t xml:space="preserve"> will enable more two-way flows of electricity, information, and value, and will allow for the expansion of large-scale, variable renewable energy sources. Stakeholders identified the following strategies to modernize the grid:</w:t>
      </w:r>
    </w:p>
    <w:p w14:paraId="18CF36A3" w14:textId="77777777" w:rsidR="00B65A50" w:rsidRPr="00F041AD" w:rsidRDefault="00B65A50" w:rsidP="00D5651B">
      <w:pPr>
        <w:pStyle w:val="5BodyText"/>
        <w:rPr>
          <w:color w:val="333333" w:themeColor="background1"/>
        </w:rPr>
      </w:pPr>
    </w:p>
    <w:p w14:paraId="606FD398" w14:textId="77777777" w:rsidR="00B65A50" w:rsidRPr="00F041AD" w:rsidRDefault="00B65A50" w:rsidP="001D1907">
      <w:pPr>
        <w:pStyle w:val="5BodyText"/>
        <w:numPr>
          <w:ilvl w:val="0"/>
          <w:numId w:val="6"/>
        </w:numPr>
        <w:rPr>
          <w:b/>
          <w:color w:val="333333" w:themeColor="background1"/>
        </w:rPr>
      </w:pPr>
      <w:r w:rsidRPr="00F041AD">
        <w:rPr>
          <w:b/>
          <w:color w:val="333333" w:themeColor="background1"/>
        </w:rPr>
        <w:t xml:space="preserve">Deploying advanced metering infrastructure (AMI) </w:t>
      </w:r>
      <w:r w:rsidRPr="00F041AD">
        <w:rPr>
          <w:color w:val="333333" w:themeColor="background1"/>
        </w:rPr>
        <w:t>to allow for communication between the utility and the grid;</w:t>
      </w:r>
    </w:p>
    <w:p w14:paraId="3D1559E4" w14:textId="77777777" w:rsidR="00B65A50" w:rsidRPr="00F041AD" w:rsidRDefault="00B65A50" w:rsidP="001D1907">
      <w:pPr>
        <w:pStyle w:val="5BodyText"/>
        <w:numPr>
          <w:ilvl w:val="0"/>
          <w:numId w:val="6"/>
        </w:numPr>
        <w:rPr>
          <w:b/>
          <w:color w:val="333333" w:themeColor="background1"/>
        </w:rPr>
      </w:pPr>
      <w:r w:rsidRPr="00F041AD">
        <w:rPr>
          <w:b/>
          <w:color w:val="333333" w:themeColor="background1"/>
        </w:rPr>
        <w:t xml:space="preserve">Enabling smart inverter functionality </w:t>
      </w:r>
      <w:r w:rsidRPr="00F041AD">
        <w:rPr>
          <w:color w:val="333333" w:themeColor="background1"/>
        </w:rPr>
        <w:t>to allow utilities to better integrate increasing levels of solar power with the grid; and</w:t>
      </w:r>
    </w:p>
    <w:p w14:paraId="77265A57" w14:textId="77777777" w:rsidR="00B65A50" w:rsidRPr="00F041AD" w:rsidRDefault="00B65A50" w:rsidP="001D1907">
      <w:pPr>
        <w:pStyle w:val="5BodyText"/>
        <w:numPr>
          <w:ilvl w:val="0"/>
          <w:numId w:val="6"/>
        </w:numPr>
        <w:rPr>
          <w:b/>
          <w:color w:val="333333" w:themeColor="background1"/>
        </w:rPr>
      </w:pPr>
      <w:r w:rsidRPr="00F041AD">
        <w:rPr>
          <w:b/>
          <w:color w:val="333333" w:themeColor="background1"/>
        </w:rPr>
        <w:t xml:space="preserve">Integrating energy storage and demand response </w:t>
      </w:r>
      <w:r w:rsidRPr="00F041AD">
        <w:rPr>
          <w:color w:val="333333" w:themeColor="background1"/>
        </w:rPr>
        <w:t>to reduce peak power demands, lower customer costs, and enable additional renewable energy penetration.</w:t>
      </w:r>
    </w:p>
    <w:p w14:paraId="1564A5A2" w14:textId="77777777" w:rsidR="00B65A50" w:rsidRPr="00F041AD" w:rsidRDefault="00B65A50" w:rsidP="00D5651B">
      <w:pPr>
        <w:pStyle w:val="5BodyText"/>
        <w:rPr>
          <w:color w:val="333333" w:themeColor="background1"/>
        </w:rPr>
      </w:pPr>
    </w:p>
    <w:p w14:paraId="5132EC3A" w14:textId="77777777" w:rsidR="00B65A50" w:rsidRPr="00F041AD" w:rsidRDefault="00B65A50" w:rsidP="00D5651B">
      <w:pPr>
        <w:pStyle w:val="5BodyText"/>
        <w:rPr>
          <w:color w:val="333333" w:themeColor="background1"/>
        </w:rPr>
      </w:pPr>
      <w:r w:rsidRPr="00F041AD">
        <w:rPr>
          <w:b/>
          <w:color w:val="333333" w:themeColor="background1"/>
        </w:rPr>
        <w:t>Updated pricing</w:t>
      </w:r>
      <w:r w:rsidRPr="00F041AD">
        <w:rPr>
          <w:color w:val="333333" w:themeColor="background1"/>
        </w:rPr>
        <w:t xml:space="preserve"> </w:t>
      </w:r>
      <w:r w:rsidRPr="00F041AD">
        <w:rPr>
          <w:b/>
          <w:color w:val="333333" w:themeColor="background1"/>
        </w:rPr>
        <w:t>and tariffs</w:t>
      </w:r>
      <w:r w:rsidRPr="00F041AD">
        <w:rPr>
          <w:color w:val="333333" w:themeColor="background1"/>
        </w:rPr>
        <w:t xml:space="preserve"> can better reflect the grid-level costs of consumption, and can empower customers with choices, allowing them to reduce their energy bills and reduce costs for the entire energy system. Stakeholders identified the following strategies related to pricing and tariffs: </w:t>
      </w:r>
    </w:p>
    <w:p w14:paraId="299D45A3" w14:textId="77777777" w:rsidR="00B65A50" w:rsidRPr="00F041AD" w:rsidRDefault="00B65A50" w:rsidP="00D5651B">
      <w:pPr>
        <w:pStyle w:val="5BodyText"/>
        <w:rPr>
          <w:color w:val="333333" w:themeColor="background1"/>
        </w:rPr>
      </w:pPr>
    </w:p>
    <w:p w14:paraId="017F1E09" w14:textId="77777777" w:rsidR="00B65A50" w:rsidRPr="00F041AD" w:rsidRDefault="00B65A50" w:rsidP="001D1907">
      <w:pPr>
        <w:pStyle w:val="5BodyText"/>
        <w:numPr>
          <w:ilvl w:val="0"/>
          <w:numId w:val="7"/>
        </w:numPr>
        <w:rPr>
          <w:color w:val="333333" w:themeColor="background1"/>
        </w:rPr>
      </w:pPr>
      <w:r w:rsidRPr="00F041AD">
        <w:rPr>
          <w:b/>
          <w:color w:val="333333" w:themeColor="background1"/>
        </w:rPr>
        <w:t xml:space="preserve">Adopting time-based rates </w:t>
      </w:r>
      <w:r w:rsidRPr="00F041AD">
        <w:rPr>
          <w:color w:val="333333" w:themeColor="background1"/>
        </w:rPr>
        <w:t>to more accurately capture the cost of electricity generation and reduce overall costs to the grid by avoiding investment in peaking capacity; and</w:t>
      </w:r>
    </w:p>
    <w:p w14:paraId="25A8A99B" w14:textId="04AFE513" w:rsidR="00B65A50" w:rsidRPr="00F041AD" w:rsidRDefault="00B65A50" w:rsidP="001D1907">
      <w:pPr>
        <w:pStyle w:val="5BodyText"/>
        <w:numPr>
          <w:ilvl w:val="0"/>
          <w:numId w:val="7"/>
        </w:numPr>
        <w:rPr>
          <w:color w:val="333333" w:themeColor="background1"/>
        </w:rPr>
      </w:pPr>
      <w:r w:rsidRPr="00F041AD">
        <w:rPr>
          <w:b/>
          <w:color w:val="333333" w:themeColor="background1"/>
        </w:rPr>
        <w:t xml:space="preserve">Expanding and improving utility green power options </w:t>
      </w:r>
      <w:r w:rsidRPr="00F041AD">
        <w:rPr>
          <w:color w:val="333333" w:themeColor="background1"/>
        </w:rPr>
        <w:t>to meet increasing customer demand for renewable electricity and renewable natural gas.</w:t>
      </w:r>
    </w:p>
    <w:p w14:paraId="6AF3C2A9" w14:textId="77777777" w:rsidR="00B65A50" w:rsidRPr="00F041AD" w:rsidRDefault="00B65A50" w:rsidP="00D5651B">
      <w:pPr>
        <w:pStyle w:val="5BodyText"/>
        <w:rPr>
          <w:color w:val="333333" w:themeColor="background1"/>
        </w:rPr>
      </w:pPr>
    </w:p>
    <w:p w14:paraId="6ED1B1FA" w14:textId="77777777" w:rsidR="00B65A50" w:rsidRPr="00F041AD" w:rsidRDefault="00B65A50" w:rsidP="007F3F44">
      <w:pPr>
        <w:pStyle w:val="6BodyHighlight"/>
        <w:rPr>
          <w:color w:val="333333" w:themeColor="background1"/>
        </w:rPr>
      </w:pPr>
      <w:bookmarkStart w:id="37" w:name="_Toc322961587"/>
      <w:r w:rsidRPr="00F041AD">
        <w:rPr>
          <w:color w:val="333333" w:themeColor="background1"/>
        </w:rPr>
        <w:lastRenderedPageBreak/>
        <w:t>Efficient buildings and integrated energy systems</w:t>
      </w:r>
      <w:bookmarkEnd w:id="37"/>
    </w:p>
    <w:p w14:paraId="65CBC2E0" w14:textId="77777777" w:rsidR="00B65A50" w:rsidRPr="00F041AD" w:rsidRDefault="00B65A50" w:rsidP="00C02DD0">
      <w:pPr>
        <w:pStyle w:val="5BodyText"/>
        <w:rPr>
          <w:color w:val="333333" w:themeColor="background1"/>
        </w:rPr>
      </w:pPr>
      <w:r w:rsidRPr="00F041AD">
        <w:rPr>
          <w:color w:val="333333" w:themeColor="background1"/>
        </w:rPr>
        <w:t>Residential and commercial buildings account for two-thirds of the state’s electricity use and more than half of natural gas delivered in Minnesota.</w:t>
      </w:r>
      <w:r w:rsidRPr="00F041AD">
        <w:rPr>
          <w:color w:val="333333" w:themeColor="background1"/>
          <w:vertAlign w:val="superscript"/>
        </w:rPr>
        <w:endnoteReference w:id="19"/>
      </w:r>
      <w:r w:rsidRPr="00F041AD">
        <w:rPr>
          <w:color w:val="333333" w:themeColor="background1"/>
        </w:rPr>
        <w:t xml:space="preserve"> Minnesota has demonstrated national leadership and progress toward an energy efficient building stock already,</w:t>
      </w:r>
      <w:r w:rsidRPr="00F041AD">
        <w:rPr>
          <w:color w:val="333333" w:themeColor="background1"/>
          <w:vertAlign w:val="superscript"/>
        </w:rPr>
        <w:endnoteReference w:id="20"/>
      </w:r>
      <w:r w:rsidRPr="00F041AD">
        <w:rPr>
          <w:color w:val="333333" w:themeColor="background1"/>
        </w:rPr>
        <w:t xml:space="preserve"> which has set the stage for even more substantial energy savings. </w:t>
      </w:r>
    </w:p>
    <w:p w14:paraId="55000715" w14:textId="77777777" w:rsidR="00B65A50" w:rsidRPr="00F041AD" w:rsidRDefault="00B65A50" w:rsidP="00C02DD0">
      <w:pPr>
        <w:pStyle w:val="5BodyText"/>
        <w:rPr>
          <w:color w:val="333333" w:themeColor="background1"/>
        </w:rPr>
      </w:pPr>
    </w:p>
    <w:p w14:paraId="7D1C8632" w14:textId="77777777" w:rsidR="00B65A50" w:rsidRPr="00F041AD" w:rsidRDefault="00B65A50" w:rsidP="00C02DD0">
      <w:pPr>
        <w:pStyle w:val="5BodyText"/>
        <w:rPr>
          <w:b/>
          <w:color w:val="333333" w:themeColor="background1"/>
        </w:rPr>
      </w:pPr>
      <w:r w:rsidRPr="00F041AD">
        <w:rPr>
          <w:b/>
          <w:color w:val="333333" w:themeColor="background1"/>
        </w:rPr>
        <w:t xml:space="preserve">New buildings </w:t>
      </w:r>
      <w:r w:rsidRPr="00F041AD">
        <w:rPr>
          <w:color w:val="333333" w:themeColor="background1"/>
        </w:rPr>
        <w:t>present an excellent opportunity to design for optimal energy performance right from the start. Stakeholders recommended the following strategies related to new buildings:</w:t>
      </w:r>
    </w:p>
    <w:p w14:paraId="4A5516A3" w14:textId="77777777" w:rsidR="00B65A50" w:rsidRPr="00F041AD" w:rsidRDefault="00B65A50" w:rsidP="00C02DD0">
      <w:pPr>
        <w:pStyle w:val="5BodyText"/>
        <w:rPr>
          <w:color w:val="333333" w:themeColor="background1"/>
        </w:rPr>
      </w:pPr>
    </w:p>
    <w:p w14:paraId="3D524966" w14:textId="77777777" w:rsidR="00B65A50" w:rsidRPr="00F041AD" w:rsidRDefault="00B65A50" w:rsidP="001D1907">
      <w:pPr>
        <w:pStyle w:val="5BodyText"/>
        <w:numPr>
          <w:ilvl w:val="0"/>
          <w:numId w:val="8"/>
        </w:numPr>
        <w:rPr>
          <w:color w:val="333333" w:themeColor="background1"/>
        </w:rPr>
      </w:pPr>
      <w:r w:rsidRPr="00F041AD">
        <w:rPr>
          <w:b/>
          <w:color w:val="333333" w:themeColor="background1"/>
        </w:rPr>
        <w:t>Adopting voluntary low- or zero-energy building codes</w:t>
      </w:r>
      <w:r w:rsidRPr="00F041AD">
        <w:rPr>
          <w:color w:val="333333" w:themeColor="background1"/>
        </w:rPr>
        <w:t xml:space="preserve"> for new buildings and major renovations;</w:t>
      </w:r>
    </w:p>
    <w:p w14:paraId="18D6B442" w14:textId="77777777" w:rsidR="00B65A50" w:rsidRPr="00F041AD" w:rsidRDefault="00B65A50" w:rsidP="001D1907">
      <w:pPr>
        <w:pStyle w:val="5BodyText"/>
        <w:numPr>
          <w:ilvl w:val="0"/>
          <w:numId w:val="8"/>
        </w:numPr>
        <w:rPr>
          <w:color w:val="333333" w:themeColor="background1"/>
        </w:rPr>
      </w:pPr>
      <w:r w:rsidRPr="00F041AD">
        <w:rPr>
          <w:b/>
          <w:color w:val="333333" w:themeColor="background1"/>
        </w:rPr>
        <w:t>Training architects, engineers, and contractors</w:t>
      </w:r>
      <w:r w:rsidRPr="00F041AD">
        <w:rPr>
          <w:color w:val="333333" w:themeColor="background1"/>
        </w:rPr>
        <w:t xml:space="preserve"> to construct low-energy or net-zero energy buildings. </w:t>
      </w:r>
    </w:p>
    <w:p w14:paraId="7FCE1885" w14:textId="77777777" w:rsidR="00B65A50" w:rsidRPr="00F041AD" w:rsidRDefault="00B65A50" w:rsidP="00C02DD0">
      <w:pPr>
        <w:pStyle w:val="5BodyText"/>
        <w:rPr>
          <w:color w:val="333333" w:themeColor="background1"/>
        </w:rPr>
      </w:pPr>
    </w:p>
    <w:p w14:paraId="208FB0A3" w14:textId="77777777" w:rsidR="00B65A50" w:rsidRPr="00F041AD" w:rsidRDefault="00B65A50" w:rsidP="00C02DD0">
      <w:pPr>
        <w:pStyle w:val="5BodyText"/>
        <w:rPr>
          <w:b/>
          <w:color w:val="333333" w:themeColor="background1"/>
        </w:rPr>
      </w:pPr>
      <w:r w:rsidRPr="00F041AD">
        <w:rPr>
          <w:b/>
          <w:color w:val="333333" w:themeColor="background1"/>
        </w:rPr>
        <w:t xml:space="preserve">Existing buildings </w:t>
      </w:r>
      <w:r w:rsidRPr="00F041AD">
        <w:rPr>
          <w:color w:val="333333" w:themeColor="background1"/>
        </w:rPr>
        <w:t>will continue play a key part in the energy equation over the next decade. Stakeholders recommended the following strategies related to existing buildings:</w:t>
      </w:r>
    </w:p>
    <w:p w14:paraId="43781CAE" w14:textId="77777777" w:rsidR="00B65A50" w:rsidRPr="00F041AD" w:rsidRDefault="00B65A50" w:rsidP="00C02DD0">
      <w:pPr>
        <w:pStyle w:val="5BodyText"/>
        <w:rPr>
          <w:color w:val="333333" w:themeColor="background1"/>
        </w:rPr>
      </w:pPr>
      <w:r w:rsidRPr="00F041AD">
        <w:rPr>
          <w:color w:val="333333" w:themeColor="background1"/>
        </w:rPr>
        <w:t xml:space="preserve"> </w:t>
      </w:r>
    </w:p>
    <w:p w14:paraId="71F11347" w14:textId="77777777" w:rsidR="00B65A50" w:rsidRPr="00F041AD" w:rsidRDefault="00B65A50" w:rsidP="001D1907">
      <w:pPr>
        <w:pStyle w:val="5BodyText"/>
        <w:numPr>
          <w:ilvl w:val="0"/>
          <w:numId w:val="9"/>
        </w:numPr>
        <w:rPr>
          <w:color w:val="333333" w:themeColor="background1"/>
        </w:rPr>
      </w:pPr>
      <w:r w:rsidRPr="00F041AD">
        <w:rPr>
          <w:b/>
          <w:color w:val="333333" w:themeColor="background1"/>
        </w:rPr>
        <w:t>Enhancing customer access to energy data</w:t>
      </w:r>
      <w:r w:rsidRPr="00F041AD">
        <w:rPr>
          <w:color w:val="333333" w:themeColor="background1"/>
        </w:rPr>
        <w:t xml:space="preserve"> through a standardized data protocol in order to unlock energy savings; </w:t>
      </w:r>
    </w:p>
    <w:p w14:paraId="487D835A" w14:textId="77777777" w:rsidR="00B65A50" w:rsidRPr="00F041AD" w:rsidRDefault="00B65A50" w:rsidP="001D1907">
      <w:pPr>
        <w:pStyle w:val="5BodyText"/>
        <w:numPr>
          <w:ilvl w:val="0"/>
          <w:numId w:val="9"/>
        </w:numPr>
        <w:rPr>
          <w:color w:val="333333" w:themeColor="background1"/>
        </w:rPr>
      </w:pPr>
      <w:r w:rsidRPr="00F041AD">
        <w:rPr>
          <w:b/>
          <w:color w:val="333333" w:themeColor="background1"/>
        </w:rPr>
        <w:t xml:space="preserve">Promoting the adoption of energy benchmarking and disclosure programs </w:t>
      </w:r>
      <w:r w:rsidRPr="00F041AD">
        <w:rPr>
          <w:color w:val="333333" w:themeColor="background1"/>
        </w:rPr>
        <w:t>by educating local governments and tribal nations about the benefits and available software tools;</w:t>
      </w:r>
    </w:p>
    <w:p w14:paraId="1224F794" w14:textId="77777777" w:rsidR="00B65A50" w:rsidRPr="00F041AD" w:rsidRDefault="00B65A50" w:rsidP="001D1907">
      <w:pPr>
        <w:pStyle w:val="5BodyText"/>
        <w:numPr>
          <w:ilvl w:val="0"/>
          <w:numId w:val="9"/>
        </w:numPr>
        <w:rPr>
          <w:color w:val="333333" w:themeColor="background1"/>
        </w:rPr>
      </w:pPr>
      <w:r w:rsidRPr="00F041AD">
        <w:rPr>
          <w:b/>
          <w:color w:val="333333" w:themeColor="background1"/>
        </w:rPr>
        <w:t>Improving buildings operations</w:t>
      </w:r>
      <w:r w:rsidRPr="00F041AD">
        <w:rPr>
          <w:color w:val="333333" w:themeColor="background1"/>
        </w:rPr>
        <w:t xml:space="preserve"> through retro-commissioning and ongoing commissioning, building operator training, and advanced buildings controls; and</w:t>
      </w:r>
    </w:p>
    <w:p w14:paraId="2F3AA11D" w14:textId="77777777" w:rsidR="00B65A50" w:rsidRPr="00F041AD" w:rsidRDefault="00B65A50" w:rsidP="001D1907">
      <w:pPr>
        <w:pStyle w:val="5BodyText"/>
        <w:numPr>
          <w:ilvl w:val="0"/>
          <w:numId w:val="9"/>
        </w:numPr>
        <w:rPr>
          <w:color w:val="333333" w:themeColor="background1"/>
        </w:rPr>
      </w:pPr>
      <w:r w:rsidRPr="00F041AD">
        <w:rPr>
          <w:b/>
          <w:color w:val="333333" w:themeColor="background1"/>
        </w:rPr>
        <w:t>Incorporating behavioral strategies</w:t>
      </w:r>
      <w:r w:rsidRPr="00F041AD">
        <w:rPr>
          <w:color w:val="333333" w:themeColor="background1"/>
        </w:rPr>
        <w:t xml:space="preserve"> into energy efficiency programs to capture cost-effective energy reductions and sustain savings over time. </w:t>
      </w:r>
    </w:p>
    <w:p w14:paraId="77439FC9" w14:textId="77777777" w:rsidR="00B65A50" w:rsidRPr="00F041AD" w:rsidRDefault="00B65A50" w:rsidP="00C02DD0">
      <w:pPr>
        <w:pStyle w:val="5BodyText"/>
        <w:rPr>
          <w:color w:val="333333" w:themeColor="background1"/>
        </w:rPr>
      </w:pPr>
    </w:p>
    <w:p w14:paraId="7855E272" w14:textId="77777777" w:rsidR="00B65A50" w:rsidRPr="00F041AD" w:rsidRDefault="00B65A50" w:rsidP="00C02DD0">
      <w:pPr>
        <w:pStyle w:val="5BodyText"/>
        <w:rPr>
          <w:color w:val="333333" w:themeColor="background1"/>
        </w:rPr>
      </w:pPr>
      <w:r w:rsidRPr="00F041AD">
        <w:rPr>
          <w:b/>
          <w:color w:val="333333" w:themeColor="background1"/>
        </w:rPr>
        <w:t xml:space="preserve">Integrated energy systems </w:t>
      </w:r>
      <w:r w:rsidRPr="00F041AD">
        <w:rPr>
          <w:color w:val="333333" w:themeColor="background1"/>
        </w:rPr>
        <w:t xml:space="preserve">offer the opportunity to optimize energy use across buildings. Strategies to advance integrated energy systems include: </w:t>
      </w:r>
    </w:p>
    <w:p w14:paraId="11DD1625" w14:textId="77777777" w:rsidR="00B65A50" w:rsidRPr="00F041AD" w:rsidRDefault="00B65A50" w:rsidP="00C02DD0">
      <w:pPr>
        <w:pStyle w:val="5BodyText"/>
        <w:rPr>
          <w:color w:val="333333" w:themeColor="background1"/>
        </w:rPr>
      </w:pPr>
    </w:p>
    <w:p w14:paraId="69A73E1D" w14:textId="77777777" w:rsidR="00B65A50" w:rsidRPr="00F041AD" w:rsidRDefault="00B65A50" w:rsidP="001D1907">
      <w:pPr>
        <w:pStyle w:val="5BodyText"/>
        <w:numPr>
          <w:ilvl w:val="0"/>
          <w:numId w:val="10"/>
        </w:numPr>
        <w:rPr>
          <w:color w:val="333333" w:themeColor="background1"/>
        </w:rPr>
      </w:pPr>
      <w:r w:rsidRPr="00F041AD">
        <w:rPr>
          <w:b/>
          <w:color w:val="333333" w:themeColor="background1"/>
        </w:rPr>
        <w:t>Identifying opportunities for thermal energy grids</w:t>
      </w:r>
      <w:r w:rsidRPr="00F041AD">
        <w:rPr>
          <w:color w:val="333333" w:themeColor="background1"/>
        </w:rPr>
        <w:t xml:space="preserve"> and integrating existing thermal grids with district energy systems, and</w:t>
      </w:r>
    </w:p>
    <w:p w14:paraId="5006D2F9" w14:textId="266F29AB" w:rsidR="00B65A50" w:rsidRPr="00F041AD" w:rsidRDefault="00B65A50" w:rsidP="001D1907">
      <w:pPr>
        <w:pStyle w:val="5BodyText"/>
        <w:numPr>
          <w:ilvl w:val="0"/>
          <w:numId w:val="10"/>
        </w:numPr>
        <w:rPr>
          <w:color w:val="333333" w:themeColor="background1"/>
        </w:rPr>
      </w:pPr>
      <w:r w:rsidRPr="00F041AD">
        <w:rPr>
          <w:b/>
          <w:color w:val="333333" w:themeColor="background1"/>
        </w:rPr>
        <w:t>Supporting combined heat and power (CHP) development</w:t>
      </w:r>
      <w:r w:rsidRPr="00F041AD">
        <w:rPr>
          <w:color w:val="333333" w:themeColor="background1"/>
        </w:rPr>
        <w:t xml:space="preserve"> by advancing the recommendations from the Minnesota Department of Commerce’s 2015 CHP Action Plan.</w:t>
      </w:r>
    </w:p>
    <w:p w14:paraId="30D87EA3" w14:textId="77777777" w:rsidR="00B65A50" w:rsidRPr="00F041AD" w:rsidRDefault="00B65A50" w:rsidP="00C02DD0">
      <w:pPr>
        <w:pStyle w:val="5BodyText"/>
        <w:rPr>
          <w:b/>
          <w:color w:val="333333" w:themeColor="background1"/>
        </w:rPr>
      </w:pPr>
    </w:p>
    <w:p w14:paraId="62C6AD64" w14:textId="682BADF1" w:rsidR="00B65A50" w:rsidRPr="00F041AD" w:rsidRDefault="00B65A50" w:rsidP="007F3F44">
      <w:pPr>
        <w:pStyle w:val="6BodyHighlight"/>
        <w:rPr>
          <w:color w:val="333333" w:themeColor="background1"/>
        </w:rPr>
      </w:pPr>
      <w:bookmarkStart w:id="38" w:name="_Toc322961588"/>
      <w:r w:rsidRPr="00F041AD">
        <w:rPr>
          <w:color w:val="333333" w:themeColor="background1"/>
        </w:rPr>
        <w:t>Industrial and agricultural sectors</w:t>
      </w:r>
      <w:bookmarkEnd w:id="38"/>
    </w:p>
    <w:p w14:paraId="105EF71A" w14:textId="77777777" w:rsidR="00B65A50" w:rsidRPr="00F041AD" w:rsidRDefault="00B65A50" w:rsidP="00C02DD0">
      <w:pPr>
        <w:pStyle w:val="5BodyText"/>
        <w:rPr>
          <w:color w:val="333333" w:themeColor="background1"/>
        </w:rPr>
      </w:pPr>
      <w:r w:rsidRPr="00F041AD">
        <w:rPr>
          <w:color w:val="333333" w:themeColor="background1"/>
        </w:rPr>
        <w:t>Minnesota’s industrial and agricultural sectors contribute significantly to the state’s economy, and to the state’s energy use. Minnesota has been a national leader in bioenergy development,</w:t>
      </w:r>
      <w:r w:rsidRPr="00F041AD">
        <w:rPr>
          <w:color w:val="333333" w:themeColor="background1"/>
          <w:vertAlign w:val="superscript"/>
        </w:rPr>
        <w:endnoteReference w:id="21"/>
      </w:r>
      <w:r w:rsidRPr="00F041AD">
        <w:rPr>
          <w:color w:val="333333" w:themeColor="background1"/>
        </w:rPr>
        <w:t xml:space="preserve"> and industries have begun making progress toward increased energy productivity.</w:t>
      </w:r>
      <w:r w:rsidRPr="00F041AD">
        <w:rPr>
          <w:color w:val="333333" w:themeColor="background1"/>
          <w:vertAlign w:val="superscript"/>
        </w:rPr>
        <w:endnoteReference w:id="22"/>
      </w:r>
      <w:r w:rsidRPr="00F041AD">
        <w:rPr>
          <w:color w:val="333333" w:themeColor="background1"/>
        </w:rPr>
        <w:t xml:space="preserve"> Still, there remain significant opportunities </w:t>
      </w:r>
      <w:r w:rsidRPr="00F041AD">
        <w:rPr>
          <w:color w:val="333333" w:themeColor="background1"/>
        </w:rPr>
        <w:lastRenderedPageBreak/>
        <w:t xml:space="preserve">for Minnesota’s agricultural and industrial sectors continue Minnesota’s economic growth through bioenergy, energy productivity, and clean energy development. </w:t>
      </w:r>
    </w:p>
    <w:p w14:paraId="263A5A84" w14:textId="77777777" w:rsidR="00B65A50" w:rsidRPr="00F041AD" w:rsidRDefault="00B65A50" w:rsidP="00C02DD0">
      <w:pPr>
        <w:pStyle w:val="5BodyText"/>
        <w:rPr>
          <w:color w:val="333333" w:themeColor="background1"/>
        </w:rPr>
      </w:pPr>
    </w:p>
    <w:p w14:paraId="27AF4B07" w14:textId="77777777" w:rsidR="00B65A50" w:rsidRPr="00F041AD" w:rsidRDefault="00B65A50" w:rsidP="00C02DD0">
      <w:pPr>
        <w:pStyle w:val="5BodyText"/>
        <w:rPr>
          <w:b/>
          <w:color w:val="333333" w:themeColor="background1"/>
        </w:rPr>
      </w:pPr>
      <w:r w:rsidRPr="00F041AD">
        <w:rPr>
          <w:b/>
          <w:color w:val="333333" w:themeColor="background1"/>
        </w:rPr>
        <w:t xml:space="preserve">Promoting bioenergy in the agricultural sector </w:t>
      </w:r>
      <w:r w:rsidRPr="00F041AD">
        <w:rPr>
          <w:color w:val="333333" w:themeColor="background1"/>
        </w:rPr>
        <w:t>allows Minnesota to</w:t>
      </w:r>
      <w:r w:rsidRPr="00F041AD">
        <w:rPr>
          <w:b/>
          <w:color w:val="333333" w:themeColor="background1"/>
        </w:rPr>
        <w:t xml:space="preserve"> </w:t>
      </w:r>
      <w:r w:rsidRPr="00F041AD">
        <w:rPr>
          <w:color w:val="333333" w:themeColor="background1"/>
        </w:rPr>
        <w:t>build upon its existing bioenergy resources and leadership to create low-carbon fuels for a variety of uses. Stakeholders identified the following strategies to promote bioenergy:</w:t>
      </w:r>
    </w:p>
    <w:p w14:paraId="0ADE138D" w14:textId="77777777" w:rsidR="00B65A50" w:rsidRPr="00F041AD" w:rsidRDefault="00B65A50" w:rsidP="00C02DD0">
      <w:pPr>
        <w:pStyle w:val="5BodyText"/>
        <w:rPr>
          <w:color w:val="333333" w:themeColor="background1"/>
        </w:rPr>
      </w:pPr>
    </w:p>
    <w:p w14:paraId="04A0D10F" w14:textId="77777777" w:rsidR="00B65A50" w:rsidRPr="00F041AD" w:rsidRDefault="00B65A50" w:rsidP="001D1907">
      <w:pPr>
        <w:pStyle w:val="5BodyText"/>
        <w:numPr>
          <w:ilvl w:val="0"/>
          <w:numId w:val="11"/>
        </w:numPr>
        <w:rPr>
          <w:b/>
          <w:color w:val="333333" w:themeColor="background1"/>
        </w:rPr>
      </w:pPr>
      <w:r w:rsidRPr="00F041AD">
        <w:rPr>
          <w:b/>
          <w:color w:val="333333" w:themeColor="background1"/>
        </w:rPr>
        <w:t xml:space="preserve">Commercializing advanced biofuels and biobased chemicals </w:t>
      </w:r>
      <w:r w:rsidRPr="00F041AD">
        <w:rPr>
          <w:color w:val="333333" w:themeColor="background1"/>
        </w:rPr>
        <w:t xml:space="preserve">through supply chain mapping, addressing feedstock supply and infrastructure, and identifying and addressing permitting barriers. </w:t>
      </w:r>
    </w:p>
    <w:p w14:paraId="2880CED8" w14:textId="77777777" w:rsidR="00B65A50" w:rsidRPr="00F041AD" w:rsidRDefault="00B65A50" w:rsidP="001D1907">
      <w:pPr>
        <w:pStyle w:val="5BodyText"/>
        <w:numPr>
          <w:ilvl w:val="0"/>
          <w:numId w:val="11"/>
        </w:numPr>
        <w:rPr>
          <w:b/>
          <w:color w:val="333333" w:themeColor="background1"/>
        </w:rPr>
      </w:pPr>
      <w:r w:rsidRPr="00F041AD">
        <w:rPr>
          <w:b/>
          <w:color w:val="333333" w:themeColor="background1"/>
        </w:rPr>
        <w:t>Capturing organic feedstocks through anaerobic digestion</w:t>
      </w:r>
      <w:r w:rsidRPr="00F041AD">
        <w:rPr>
          <w:color w:val="333333" w:themeColor="background1"/>
        </w:rPr>
        <w:t xml:space="preserve"> by resetting the conversation on anaerobic digestion, incorporating anaerobic digestion into MPCA’s solid waste hierarchy, and establishing a public-private partnership to demonstrate an anaerobic digestion project incorporating biogas.</w:t>
      </w:r>
    </w:p>
    <w:p w14:paraId="708BF641" w14:textId="77777777" w:rsidR="00B65A50" w:rsidRPr="00F041AD" w:rsidRDefault="00B65A50" w:rsidP="00C02DD0">
      <w:pPr>
        <w:pStyle w:val="5BodyText"/>
        <w:rPr>
          <w:color w:val="333333" w:themeColor="background1"/>
        </w:rPr>
      </w:pPr>
    </w:p>
    <w:p w14:paraId="447307E2" w14:textId="77777777" w:rsidR="00B65A50" w:rsidRPr="00F041AD" w:rsidRDefault="00B65A50" w:rsidP="00C02DD0">
      <w:pPr>
        <w:pStyle w:val="5BodyText"/>
        <w:rPr>
          <w:b/>
          <w:color w:val="333333" w:themeColor="background1"/>
        </w:rPr>
      </w:pPr>
      <w:r w:rsidRPr="00F041AD">
        <w:rPr>
          <w:b/>
          <w:color w:val="333333" w:themeColor="background1"/>
        </w:rPr>
        <w:t xml:space="preserve">Reducing wasted energy and promoting clean energy focus in Minnesota’s industries </w:t>
      </w:r>
      <w:r w:rsidRPr="00F041AD">
        <w:rPr>
          <w:color w:val="333333" w:themeColor="background1"/>
        </w:rPr>
        <w:t>will lower energy costs, improve competitiveness, and benefit the state’s economy. Stakeholders identified the following strategies to promote energy efficiency and clean energy:</w:t>
      </w:r>
    </w:p>
    <w:p w14:paraId="0C025514" w14:textId="77777777" w:rsidR="00B65A50" w:rsidRPr="00F041AD" w:rsidRDefault="00B65A50" w:rsidP="00C02DD0">
      <w:pPr>
        <w:pStyle w:val="5BodyText"/>
        <w:rPr>
          <w:color w:val="333333" w:themeColor="background1"/>
        </w:rPr>
      </w:pPr>
    </w:p>
    <w:p w14:paraId="7E84F87E" w14:textId="6F2F2CB8" w:rsidR="00B65A50" w:rsidRPr="00F041AD" w:rsidRDefault="00B65A50" w:rsidP="001D1907">
      <w:pPr>
        <w:pStyle w:val="5BodyText"/>
        <w:numPr>
          <w:ilvl w:val="0"/>
          <w:numId w:val="12"/>
        </w:numPr>
        <w:rPr>
          <w:b/>
          <w:color w:val="333333" w:themeColor="background1"/>
        </w:rPr>
      </w:pPr>
      <w:r w:rsidRPr="00F041AD">
        <w:rPr>
          <w:b/>
          <w:color w:val="333333" w:themeColor="background1"/>
        </w:rPr>
        <w:t xml:space="preserve">Promoting industrial </w:t>
      </w:r>
      <w:r w:rsidR="004308E1">
        <w:rPr>
          <w:b/>
          <w:color w:val="333333" w:themeColor="background1"/>
        </w:rPr>
        <w:t xml:space="preserve">and agricultural </w:t>
      </w:r>
      <w:r w:rsidRPr="00F041AD">
        <w:rPr>
          <w:b/>
          <w:color w:val="333333" w:themeColor="background1"/>
        </w:rPr>
        <w:t xml:space="preserve">efficiency practices </w:t>
      </w:r>
      <w:r w:rsidRPr="00F041AD">
        <w:rPr>
          <w:color w:val="333333" w:themeColor="background1"/>
        </w:rPr>
        <w:t xml:space="preserve">by sharing </w:t>
      </w:r>
      <w:r w:rsidR="004308E1">
        <w:rPr>
          <w:color w:val="333333" w:themeColor="background1"/>
        </w:rPr>
        <w:t>state and federal</w:t>
      </w:r>
      <w:r w:rsidRPr="00F041AD">
        <w:rPr>
          <w:color w:val="333333" w:themeColor="background1"/>
        </w:rPr>
        <w:t xml:space="preserve"> programs to improve energy productivity, and strengthening peer networks to share best practices on energy management.</w:t>
      </w:r>
    </w:p>
    <w:p w14:paraId="7AF6C68B" w14:textId="7FD37305" w:rsidR="00B65A50" w:rsidRPr="00F041AD" w:rsidRDefault="00206EC9" w:rsidP="001D1907">
      <w:pPr>
        <w:pStyle w:val="5BodyText"/>
        <w:numPr>
          <w:ilvl w:val="0"/>
          <w:numId w:val="12"/>
        </w:numPr>
        <w:rPr>
          <w:b/>
          <w:color w:val="333333" w:themeColor="background1"/>
        </w:rPr>
      </w:pPr>
      <w:r w:rsidRPr="00206EC9">
        <w:rPr>
          <w:b/>
          <w:color w:val="333333" w:themeColor="background1"/>
        </w:rPr>
        <w:t>Coordinate and promote the clean energy industry</w:t>
      </w:r>
      <w:r w:rsidR="00B65A50" w:rsidRPr="00F041AD">
        <w:rPr>
          <w:b/>
          <w:color w:val="333333" w:themeColor="background1"/>
        </w:rPr>
        <w:t xml:space="preserve"> </w:t>
      </w:r>
      <w:r w:rsidR="00B65A50" w:rsidRPr="00F041AD">
        <w:rPr>
          <w:color w:val="333333" w:themeColor="background1"/>
        </w:rPr>
        <w:t>to coalesce Minnesota’s energy and business community around the state’s competitive strengths in clean energy.</w:t>
      </w:r>
    </w:p>
    <w:p w14:paraId="7514D87D" w14:textId="77777777" w:rsidR="00B65A50" w:rsidRPr="00F041AD" w:rsidRDefault="00B65A50" w:rsidP="00172401">
      <w:pPr>
        <w:pStyle w:val="5BodyText"/>
        <w:rPr>
          <w:b/>
          <w:color w:val="333333" w:themeColor="background1"/>
        </w:rPr>
      </w:pPr>
    </w:p>
    <w:p w14:paraId="3BC21C3C" w14:textId="4EBECE20" w:rsidR="00B65A50" w:rsidRPr="00F041AD" w:rsidRDefault="00B65A50" w:rsidP="007F3F44">
      <w:pPr>
        <w:pStyle w:val="6BodyHighlight"/>
        <w:rPr>
          <w:color w:val="333333" w:themeColor="background1"/>
        </w:rPr>
      </w:pPr>
      <w:bookmarkStart w:id="39" w:name="_Toc322961589"/>
      <w:r w:rsidRPr="00F041AD">
        <w:rPr>
          <w:color w:val="333333" w:themeColor="background1"/>
        </w:rPr>
        <w:t>Local planning and action</w:t>
      </w:r>
      <w:bookmarkEnd w:id="39"/>
    </w:p>
    <w:p w14:paraId="3D7584E2" w14:textId="14E88AF7" w:rsidR="00B65A50" w:rsidRPr="00F041AD" w:rsidRDefault="00B65A50" w:rsidP="00172401">
      <w:pPr>
        <w:pStyle w:val="5BodyText"/>
        <w:rPr>
          <w:color w:val="333333" w:themeColor="background1"/>
        </w:rPr>
      </w:pPr>
      <w:r w:rsidRPr="00F041AD">
        <w:rPr>
          <w:color w:val="333333" w:themeColor="background1"/>
        </w:rPr>
        <w:t>Leading local governments and tribal nations in Minnesota are demonstrating that it is possible to make progress towards a cleaner, more resilient energy system at the local level, for example through voluntary participation in challenges around best practices.</w:t>
      </w:r>
      <w:r w:rsidRPr="00F041AD">
        <w:rPr>
          <w:color w:val="333333" w:themeColor="background1"/>
          <w:vertAlign w:val="superscript"/>
        </w:rPr>
        <w:endnoteReference w:id="23"/>
      </w:r>
      <w:r w:rsidRPr="00F041AD">
        <w:rPr>
          <w:color w:val="333333" w:themeColor="background1"/>
        </w:rPr>
        <w:t xml:space="preserve"> Understanding that many changes start at the local level, stakeholders identified strategies to </w:t>
      </w:r>
      <w:r w:rsidRPr="00F041AD">
        <w:rPr>
          <w:b/>
          <w:color w:val="333333" w:themeColor="background1"/>
        </w:rPr>
        <w:t>advance local energy planning</w:t>
      </w:r>
      <w:r w:rsidRPr="00F041AD">
        <w:rPr>
          <w:color w:val="333333" w:themeColor="background1"/>
        </w:rPr>
        <w:t xml:space="preserve"> and </w:t>
      </w:r>
      <w:r w:rsidRPr="00F041AD">
        <w:rPr>
          <w:b/>
          <w:color w:val="333333" w:themeColor="background1"/>
        </w:rPr>
        <w:t>pursue near-term actions</w:t>
      </w:r>
      <w:r w:rsidRPr="00F041AD">
        <w:rPr>
          <w:color w:val="333333" w:themeColor="background1"/>
        </w:rPr>
        <w:t xml:space="preserve"> at the local level. </w:t>
      </w:r>
    </w:p>
    <w:p w14:paraId="6077AD83" w14:textId="77777777" w:rsidR="00B65A50" w:rsidRPr="00F041AD" w:rsidRDefault="00B65A50" w:rsidP="00172401">
      <w:pPr>
        <w:pStyle w:val="5BodyText"/>
        <w:rPr>
          <w:color w:val="333333" w:themeColor="background1"/>
        </w:rPr>
      </w:pPr>
    </w:p>
    <w:p w14:paraId="6A486B81" w14:textId="77777777" w:rsidR="00B65A50" w:rsidRPr="00F041AD" w:rsidRDefault="00B65A50" w:rsidP="001D1907">
      <w:pPr>
        <w:pStyle w:val="5BodyText"/>
        <w:numPr>
          <w:ilvl w:val="0"/>
          <w:numId w:val="13"/>
        </w:numPr>
        <w:rPr>
          <w:color w:val="333333" w:themeColor="background1"/>
        </w:rPr>
      </w:pPr>
      <w:r w:rsidRPr="00F041AD">
        <w:rPr>
          <w:b/>
          <w:color w:val="333333" w:themeColor="background1"/>
        </w:rPr>
        <w:t>Local energy planning</w:t>
      </w:r>
      <w:r w:rsidRPr="00F041AD">
        <w:rPr>
          <w:color w:val="333333" w:themeColor="background1"/>
        </w:rPr>
        <w:t xml:space="preserve"> actions include energy data collection and analysis, integrating energy and resilience planning into comprehensive planning and other planning efforts, and engaging communities in a statewide energy challenge.</w:t>
      </w:r>
    </w:p>
    <w:p w14:paraId="775129CC" w14:textId="77777777" w:rsidR="00B65A50" w:rsidRPr="00F041AD" w:rsidRDefault="00B65A50" w:rsidP="00172401">
      <w:pPr>
        <w:pStyle w:val="5BodyText"/>
        <w:rPr>
          <w:color w:val="333333" w:themeColor="background1"/>
        </w:rPr>
      </w:pPr>
    </w:p>
    <w:p w14:paraId="7FBD7390" w14:textId="77777777" w:rsidR="00B65A50" w:rsidRPr="00F041AD" w:rsidRDefault="00B65A50" w:rsidP="001D1907">
      <w:pPr>
        <w:pStyle w:val="5BodyText"/>
        <w:numPr>
          <w:ilvl w:val="0"/>
          <w:numId w:val="13"/>
        </w:numPr>
        <w:rPr>
          <w:color w:val="333333" w:themeColor="background1"/>
        </w:rPr>
      </w:pPr>
      <w:r w:rsidRPr="00F041AD">
        <w:rPr>
          <w:b/>
          <w:color w:val="333333" w:themeColor="background1"/>
        </w:rPr>
        <w:lastRenderedPageBreak/>
        <w:t>Near-term actions at the local level</w:t>
      </w:r>
      <w:r w:rsidRPr="00F041AD">
        <w:rPr>
          <w:color w:val="333333" w:themeColor="background1"/>
        </w:rPr>
        <w:t xml:space="preserve"> include adopting best practices, addressing energy development in local ordinances, creating predictable permitting for distributed generation, publicizing existing programs, and developing energy and climate goals.</w:t>
      </w:r>
    </w:p>
    <w:p w14:paraId="22075047" w14:textId="77777777" w:rsidR="00B65A50" w:rsidRPr="00F041AD" w:rsidRDefault="00B65A50" w:rsidP="00172401">
      <w:pPr>
        <w:pStyle w:val="5BodyText"/>
        <w:rPr>
          <w:b/>
          <w:i/>
          <w:color w:val="333333" w:themeColor="background1"/>
        </w:rPr>
      </w:pPr>
    </w:p>
    <w:p w14:paraId="07E559E2" w14:textId="0A5D93EE" w:rsidR="00B65A50" w:rsidRPr="00F041AD" w:rsidRDefault="00B65A50" w:rsidP="007F3F44">
      <w:pPr>
        <w:pStyle w:val="6BodyHighlight"/>
        <w:rPr>
          <w:color w:val="333333" w:themeColor="background1"/>
        </w:rPr>
      </w:pPr>
      <w:bookmarkStart w:id="40" w:name="_Toc322961590"/>
      <w:r w:rsidRPr="00F041AD">
        <w:rPr>
          <w:color w:val="333333" w:themeColor="background1"/>
        </w:rPr>
        <w:t>Additional opportunities</w:t>
      </w:r>
      <w:bookmarkEnd w:id="40"/>
    </w:p>
    <w:p w14:paraId="7475C6CA" w14:textId="5E52279E" w:rsidR="00B65A50" w:rsidRPr="00F041AD" w:rsidRDefault="00B65A50" w:rsidP="005C0C67">
      <w:pPr>
        <w:pStyle w:val="5BodyText"/>
        <w:rPr>
          <w:color w:val="333333" w:themeColor="background1"/>
        </w:rPr>
      </w:pPr>
      <w:r w:rsidRPr="00F041AD">
        <w:rPr>
          <w:color w:val="333333" w:themeColor="background1"/>
        </w:rPr>
        <w:t>The strategies in this Energy Action Plan were selected based on common criteria, among them, potential to drive progress in the state in the near-term. However, stakeholders identified many more strategies that did not meet all the selection criteria, but will likely be relevant in shaping Minnesota’s energy system. These additional opportunities are listed below and outlined further in the full report.</w:t>
      </w:r>
    </w:p>
    <w:p w14:paraId="65581DB4" w14:textId="77777777" w:rsidR="00B65A50" w:rsidRPr="00F041AD" w:rsidRDefault="00B65A50" w:rsidP="005C0C67">
      <w:pPr>
        <w:pStyle w:val="5BodyText"/>
        <w:rPr>
          <w:color w:val="333333" w:themeColor="background1"/>
        </w:rPr>
      </w:pPr>
    </w:p>
    <w:p w14:paraId="28C6E372" w14:textId="02D80C45" w:rsidR="00B65A50" w:rsidRPr="00F041AD" w:rsidRDefault="00B65A50" w:rsidP="001D1907">
      <w:pPr>
        <w:pStyle w:val="5BodyText"/>
        <w:numPr>
          <w:ilvl w:val="0"/>
          <w:numId w:val="14"/>
        </w:numPr>
        <w:rPr>
          <w:color w:val="333333" w:themeColor="background1"/>
        </w:rPr>
      </w:pPr>
      <w:r w:rsidRPr="00F041AD">
        <w:rPr>
          <w:color w:val="333333" w:themeColor="background1"/>
        </w:rPr>
        <w:t>Autonomous electric vehicles.</w:t>
      </w:r>
    </w:p>
    <w:p w14:paraId="1BAE7A1E" w14:textId="07FD9627" w:rsidR="00B65A50" w:rsidRPr="00F041AD" w:rsidRDefault="00B65A50" w:rsidP="001D1907">
      <w:pPr>
        <w:pStyle w:val="5BodyText"/>
        <w:numPr>
          <w:ilvl w:val="0"/>
          <w:numId w:val="14"/>
        </w:numPr>
        <w:rPr>
          <w:color w:val="333333" w:themeColor="background1"/>
        </w:rPr>
      </w:pPr>
      <w:r w:rsidRPr="00F041AD">
        <w:rPr>
          <w:color w:val="333333" w:themeColor="background1"/>
        </w:rPr>
        <w:t>Vehicle miles traveled (VMT)-based pricing.</w:t>
      </w:r>
    </w:p>
    <w:p w14:paraId="143CF5DB" w14:textId="15C53B51" w:rsidR="00B65A50" w:rsidRPr="00F041AD" w:rsidRDefault="00B65A50" w:rsidP="001D1907">
      <w:pPr>
        <w:pStyle w:val="5BodyText"/>
        <w:numPr>
          <w:ilvl w:val="0"/>
          <w:numId w:val="14"/>
        </w:numPr>
        <w:rPr>
          <w:color w:val="333333" w:themeColor="background1"/>
        </w:rPr>
      </w:pPr>
      <w:r w:rsidRPr="00F041AD">
        <w:rPr>
          <w:color w:val="333333" w:themeColor="background1"/>
        </w:rPr>
        <w:t>An expanded Renewable Portfolio Standard (RPS).</w:t>
      </w:r>
      <w:r w:rsidRPr="00F041AD">
        <w:rPr>
          <w:color w:val="333333" w:themeColor="background1"/>
          <w:vertAlign w:val="superscript"/>
        </w:rPr>
        <w:endnoteReference w:id="24"/>
      </w:r>
    </w:p>
    <w:p w14:paraId="6B60A0F5" w14:textId="56209919" w:rsidR="00B65A50" w:rsidRPr="00F041AD" w:rsidRDefault="00B65A50" w:rsidP="001D1907">
      <w:pPr>
        <w:pStyle w:val="5BodyText"/>
        <w:numPr>
          <w:ilvl w:val="0"/>
          <w:numId w:val="14"/>
        </w:numPr>
        <w:rPr>
          <w:color w:val="333333" w:themeColor="background1"/>
        </w:rPr>
      </w:pPr>
      <w:r w:rsidRPr="00F041AD">
        <w:rPr>
          <w:color w:val="333333" w:themeColor="background1"/>
        </w:rPr>
        <w:t>Expanded incentives for distributed energy resources (DERs).</w:t>
      </w:r>
    </w:p>
    <w:p w14:paraId="6E74835F" w14:textId="77777777" w:rsidR="00B65A50" w:rsidRPr="00F041AD" w:rsidRDefault="00B65A50" w:rsidP="001D1907">
      <w:pPr>
        <w:pStyle w:val="5BodyText"/>
        <w:numPr>
          <w:ilvl w:val="0"/>
          <w:numId w:val="14"/>
        </w:numPr>
        <w:rPr>
          <w:color w:val="333333" w:themeColor="background1"/>
        </w:rPr>
      </w:pPr>
      <w:r w:rsidRPr="00F041AD">
        <w:rPr>
          <w:color w:val="333333" w:themeColor="background1"/>
        </w:rPr>
        <w:t>Geothermal energy.</w:t>
      </w:r>
    </w:p>
    <w:p w14:paraId="51E8671A" w14:textId="1B98C540" w:rsidR="00B65A50" w:rsidRPr="00F041AD" w:rsidRDefault="00B65A50" w:rsidP="001D1907">
      <w:pPr>
        <w:pStyle w:val="5BodyText"/>
        <w:numPr>
          <w:ilvl w:val="0"/>
          <w:numId w:val="14"/>
        </w:numPr>
        <w:rPr>
          <w:color w:val="333333" w:themeColor="background1"/>
        </w:rPr>
      </w:pPr>
      <w:r w:rsidRPr="00F041AD">
        <w:rPr>
          <w:color w:val="333333" w:themeColor="background1"/>
        </w:rPr>
        <w:t>Distributed generation.</w:t>
      </w:r>
    </w:p>
    <w:p w14:paraId="04B5EA41" w14:textId="77777777" w:rsidR="00B65A50" w:rsidRPr="00F041AD" w:rsidRDefault="00B65A50" w:rsidP="00172401">
      <w:pPr>
        <w:pStyle w:val="5BodyText"/>
        <w:rPr>
          <w:b/>
          <w:i/>
          <w:color w:val="333333" w:themeColor="background1"/>
        </w:rPr>
      </w:pPr>
    </w:p>
    <w:p w14:paraId="1E9870AD" w14:textId="58BF1E18" w:rsidR="00B65A50" w:rsidRPr="00F041AD" w:rsidRDefault="00B65A50" w:rsidP="007F3F44">
      <w:pPr>
        <w:pStyle w:val="6BodyHighlight"/>
        <w:rPr>
          <w:color w:val="333333" w:themeColor="background1"/>
        </w:rPr>
      </w:pPr>
      <w:bookmarkStart w:id="41" w:name="_Toc322961591"/>
      <w:r w:rsidRPr="00F041AD">
        <w:rPr>
          <w:color w:val="333333" w:themeColor="background1"/>
        </w:rPr>
        <w:t>Cross-sector opportunities</w:t>
      </w:r>
      <w:bookmarkEnd w:id="41"/>
    </w:p>
    <w:p w14:paraId="4C5B2A9D" w14:textId="6DF08179" w:rsidR="00DC544C" w:rsidRPr="00F041AD" w:rsidRDefault="00B65A50" w:rsidP="00DC544C">
      <w:pPr>
        <w:pStyle w:val="5BodyText"/>
        <w:rPr>
          <w:color w:val="333333" w:themeColor="background1"/>
        </w:rPr>
      </w:pPr>
      <w:r w:rsidRPr="00F041AD">
        <w:rPr>
          <w:color w:val="333333" w:themeColor="background1"/>
        </w:rPr>
        <w:t xml:space="preserve">All of the strategies in this Action Plan have important relationships with strategies other sectors. Notably, local </w:t>
      </w:r>
      <w:r w:rsidR="004308E1">
        <w:rPr>
          <w:color w:val="333333" w:themeColor="background1"/>
        </w:rPr>
        <w:t xml:space="preserve">governments </w:t>
      </w:r>
      <w:r w:rsidRPr="00F041AD">
        <w:rPr>
          <w:color w:val="333333" w:themeColor="background1"/>
        </w:rPr>
        <w:t xml:space="preserve">and tribal </w:t>
      </w:r>
      <w:r w:rsidR="004308E1">
        <w:rPr>
          <w:color w:val="333333" w:themeColor="background1"/>
        </w:rPr>
        <w:t>nations</w:t>
      </w:r>
      <w:r w:rsidR="004308E1" w:rsidRPr="00F041AD">
        <w:rPr>
          <w:color w:val="333333" w:themeColor="background1"/>
        </w:rPr>
        <w:t xml:space="preserve"> </w:t>
      </w:r>
      <w:r w:rsidRPr="00F041AD">
        <w:rPr>
          <w:color w:val="333333" w:themeColor="background1"/>
        </w:rPr>
        <w:t>have a key role to play in driving and executing community-level action to make progress in each of those sectors. This report has laid out where these cross-sector opportunities may be most important, in order to let stakeholders focused on one particular opportunity know where their actions may influence or depend on the actions of others.</w:t>
      </w:r>
    </w:p>
    <w:p w14:paraId="34C1001A" w14:textId="77777777" w:rsidR="00EC7A6D" w:rsidRPr="00F041AD" w:rsidRDefault="00EC7A6D" w:rsidP="00DC544C">
      <w:pPr>
        <w:pStyle w:val="5BodyText"/>
        <w:rPr>
          <w:color w:val="333333" w:themeColor="background1"/>
        </w:rPr>
      </w:pPr>
    </w:p>
    <w:p w14:paraId="383797C5" w14:textId="6E7C978B" w:rsidR="00EC7A6D" w:rsidRPr="00F041AD" w:rsidRDefault="00EC7A6D" w:rsidP="00EC7A6D">
      <w:pPr>
        <w:pStyle w:val="6BodyHighlight"/>
        <w:rPr>
          <w:color w:val="333333" w:themeColor="background1"/>
        </w:rPr>
      </w:pPr>
      <w:bookmarkStart w:id="42" w:name="_Toc322961592"/>
      <w:r w:rsidRPr="00F041AD">
        <w:rPr>
          <w:color w:val="333333" w:themeColor="background1"/>
        </w:rPr>
        <w:t>Capturing the momentum</w:t>
      </w:r>
      <w:bookmarkEnd w:id="42"/>
    </w:p>
    <w:p w14:paraId="6B2DB65E" w14:textId="7402EDF6" w:rsidR="00EC7A6D" w:rsidRPr="00F041AD" w:rsidRDefault="00EC7A6D" w:rsidP="00DC544C">
      <w:pPr>
        <w:pStyle w:val="5BodyText"/>
        <w:rPr>
          <w:color w:val="333333" w:themeColor="background1"/>
        </w:rPr>
      </w:pPr>
      <w:r w:rsidRPr="00F041AD">
        <w:rPr>
          <w:color w:val="333333" w:themeColor="background1"/>
        </w:rPr>
        <w:t>This Energy Action Plan identifies strategies to capture the large opportunity Minnesota has to make progress towards existing goals, develop a competitive advantage in the clean energy industry, and advance Minnesota’s leadership in the region and the nation. As state- and national-level clean energy trends accelerate, the report identifies how Minnesota can act now to capitalize on its ongoing clean energy initiatives, leverage local renewable natural resources, drive growth in an important sector of the state economy and advance a clean, reliable, resilient and affordable energy system for all Minnesotans.</w:t>
      </w:r>
    </w:p>
    <w:p w14:paraId="6C8E697B" w14:textId="77777777" w:rsidR="00DC544C" w:rsidRPr="00F041AD" w:rsidRDefault="00DC544C">
      <w:pPr>
        <w:rPr>
          <w:color w:val="333333" w:themeColor="background1"/>
        </w:rPr>
      </w:pPr>
      <w:r w:rsidRPr="00F041AD">
        <w:rPr>
          <w:color w:val="333333" w:themeColor="background1"/>
        </w:rPr>
        <w:br w:type="page"/>
      </w:r>
    </w:p>
    <w:p w14:paraId="5AE4F08B" w14:textId="77BE21DA" w:rsidR="00DC544C" w:rsidRPr="00F041AD" w:rsidRDefault="0039437A" w:rsidP="007F3F44">
      <w:pPr>
        <w:pStyle w:val="6BodyHighlight"/>
        <w:rPr>
          <w:color w:val="333333" w:themeColor="background1"/>
          <w:sz w:val="20"/>
        </w:rPr>
      </w:pPr>
      <w:bookmarkStart w:id="43" w:name="_Toc322961593"/>
      <w:r w:rsidRPr="00F041AD">
        <w:rPr>
          <w:color w:val="333333" w:themeColor="background1"/>
        </w:rPr>
        <w:lastRenderedPageBreak/>
        <w:t>References</w:t>
      </w:r>
      <w:bookmarkEnd w:id="43"/>
    </w:p>
    <w:p w14:paraId="101F601D" w14:textId="77777777" w:rsidR="00B65A50" w:rsidRPr="00F041AD" w:rsidRDefault="00B65A50" w:rsidP="007F3F44">
      <w:pPr>
        <w:pStyle w:val="6BodyHighlight"/>
        <w:rPr>
          <w:color w:val="333333" w:themeColor="background1"/>
        </w:rPr>
        <w:sectPr w:rsidR="00B65A50" w:rsidRPr="00F041AD" w:rsidSect="00640B0F">
          <w:headerReference w:type="even" r:id="rId17"/>
          <w:headerReference w:type="default" r:id="rId18"/>
          <w:footerReference w:type="even" r:id="rId19"/>
          <w:footerReference w:type="default" r:id="rId20"/>
          <w:headerReference w:type="first" r:id="rId21"/>
          <w:endnotePr>
            <w:numFmt w:val="decimal"/>
          </w:endnotePr>
          <w:pgSz w:w="12240" w:h="15840"/>
          <w:pgMar w:top="1627" w:right="1080" w:bottom="1440" w:left="1080" w:header="720" w:footer="278" w:gutter="0"/>
          <w:cols w:space="720"/>
          <w:titlePg/>
        </w:sectPr>
      </w:pPr>
    </w:p>
    <w:p w14:paraId="28A969FA" w14:textId="08E2E412" w:rsidR="00B65A50" w:rsidRPr="00F041AD" w:rsidRDefault="00B65A50">
      <w:pPr>
        <w:rPr>
          <w:color w:val="333333" w:themeColor="background1"/>
          <w:sz w:val="20"/>
        </w:rPr>
      </w:pPr>
      <w:r w:rsidRPr="00F041AD">
        <w:rPr>
          <w:color w:val="333333" w:themeColor="background1"/>
        </w:rPr>
        <w:lastRenderedPageBreak/>
        <w:br w:type="page"/>
      </w:r>
    </w:p>
    <w:p w14:paraId="1FAF8E17" w14:textId="3D79F6A5" w:rsidR="00B65A50" w:rsidRPr="00F041AD" w:rsidRDefault="00B65A50" w:rsidP="00875F55">
      <w:pPr>
        <w:pStyle w:val="3SectionTitle"/>
        <w:rPr>
          <w:color w:val="333333" w:themeColor="background1"/>
        </w:rPr>
      </w:pPr>
      <w:bookmarkStart w:id="44" w:name="_Toc322933799"/>
      <w:bookmarkStart w:id="45" w:name="_Toc322961594"/>
      <w:bookmarkStart w:id="46" w:name="_Toc322962028"/>
      <w:bookmarkStart w:id="47" w:name="_Toc322962215"/>
      <w:r w:rsidRPr="00F041AD">
        <w:rPr>
          <w:color w:val="333333" w:themeColor="background1"/>
        </w:rPr>
        <w:lastRenderedPageBreak/>
        <w:t>2. Introduction</w:t>
      </w:r>
      <w:bookmarkEnd w:id="44"/>
      <w:bookmarkEnd w:id="45"/>
      <w:bookmarkEnd w:id="46"/>
      <w:bookmarkEnd w:id="47"/>
    </w:p>
    <w:p w14:paraId="778F5360" w14:textId="31153B88" w:rsidR="00B65A50" w:rsidRPr="00F041AD" w:rsidRDefault="00B65A50" w:rsidP="006D6CF7">
      <w:pPr>
        <w:pStyle w:val="5BodyText"/>
        <w:rPr>
          <w:color w:val="333333" w:themeColor="background1"/>
        </w:rPr>
      </w:pPr>
      <w:r w:rsidRPr="00F041AD">
        <w:rPr>
          <w:color w:val="333333" w:themeColor="background1"/>
        </w:rPr>
        <w:t xml:space="preserve">For decades, Minnesota has been on the leading edge of energy efficiency and renewable energy policy. Today, Minnesota is well positioned to expand its leadership in the Midwest and, increasingly, the rest of the nation. The 2025 Energy Action Plan lays out a path to enable the state to meet or exceed ambitious renewable energy and energy efficiency goals, while strengthening the state’s economy. </w:t>
      </w:r>
    </w:p>
    <w:p w14:paraId="61AF7996" w14:textId="4A752DCB" w:rsidR="00B65A50" w:rsidRPr="00F041AD" w:rsidRDefault="004875DD" w:rsidP="006D6CF7">
      <w:pPr>
        <w:pStyle w:val="5BodyText"/>
        <w:rPr>
          <w:color w:val="333333" w:themeColor="background1"/>
        </w:rPr>
      </w:pPr>
      <w:r w:rsidRPr="00F041AD">
        <w:rPr>
          <w:noProof/>
          <w:color w:val="333333" w:themeColor="background1"/>
          <w:lang w:eastAsia="en-US"/>
        </w:rPr>
        <mc:AlternateContent>
          <mc:Choice Requires="wps">
            <w:drawing>
              <wp:anchor distT="0" distB="0" distL="114300" distR="114300" simplePos="0" relativeHeight="251689984" behindDoc="0" locked="0" layoutInCell="1" allowOverlap="1" wp14:anchorId="7B946628" wp14:editId="61CF3FEF">
                <wp:simplePos x="0" y="0"/>
                <wp:positionH relativeFrom="column">
                  <wp:posOffset>4164330</wp:posOffset>
                </wp:positionH>
                <wp:positionV relativeFrom="paragraph">
                  <wp:posOffset>121920</wp:posOffset>
                </wp:positionV>
                <wp:extent cx="1943100" cy="2790825"/>
                <wp:effectExtent l="0" t="0" r="0" b="9525"/>
                <wp:wrapSquare wrapText="bothSides"/>
                <wp:docPr id="6" name="Text Box 6"/>
                <wp:cNvGraphicFramePr/>
                <a:graphic xmlns:a="http://schemas.openxmlformats.org/drawingml/2006/main">
                  <a:graphicData uri="http://schemas.microsoft.com/office/word/2010/wordprocessingShape">
                    <wps:wsp>
                      <wps:cNvSpPr txBox="1"/>
                      <wps:spPr>
                        <a:xfrm>
                          <a:off x="0" y="0"/>
                          <a:ext cx="1943100" cy="2790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4BF623" w14:textId="075F0BF0" w:rsidR="006506BB" w:rsidRPr="003A1415" w:rsidRDefault="006506BB" w:rsidP="003A675F">
                            <w:pPr>
                              <w:pStyle w:val="4Quote"/>
                              <w:rPr>
                                <w:sz w:val="36"/>
                              </w:rPr>
                            </w:pPr>
                            <w:r w:rsidRPr="003A1415">
                              <w:rPr>
                                <w:sz w:val="36"/>
                              </w:rPr>
                              <w:t>Today, Minnesota is well positioned to become an energy leader for the Midwest and, increasingly, the rest of the nation.</w:t>
                            </w:r>
                          </w:p>
                          <w:p w14:paraId="0C9B71D6" w14:textId="77777777" w:rsidR="006506BB" w:rsidRDefault="0065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327.9pt;margin-top:9.6pt;width:153pt;height:21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" filled="f" stroked="f">
                <v:textbox>
                  <w:txbxContent>
                    <w:p w14:paraId="3B4BF623" w14:textId="075F0BF0" w:rsidR="006506BB" w:rsidRPr="003A1415" w:rsidRDefault="006506BB" w:rsidP="003A675F">
                      <w:pPr>
                        <w:pStyle w:val="4Quote"/>
                        <w:rPr>
                          <w:sz w:val="36"/>
                        </w:rPr>
                      </w:pPr>
                      <w:r w:rsidRPr="003A1415">
                        <w:rPr>
                          <w:sz w:val="36"/>
                        </w:rPr>
                        <w:t>Today, Minnesota is well positioned to become an energy leader for the Midwest and, increasingly, the rest of the nation.</w:t>
                      </w:r>
                    </w:p>
                    <w:p w14:paraId="0C9B71D6" w14:textId="77777777" w:rsidR="006506BB" w:rsidRDefault="006506BB"/>
                  </w:txbxContent>
                </v:textbox>
                <w10:wrap type="square"/>
              </v:shape>
            </w:pict>
          </mc:Fallback>
        </mc:AlternateContent>
      </w:r>
    </w:p>
    <w:p w14:paraId="22FC8226" w14:textId="62C8BFDB" w:rsidR="00B65A50" w:rsidRPr="00F041AD" w:rsidRDefault="00B65A50" w:rsidP="006D6CF7">
      <w:pPr>
        <w:pStyle w:val="5BodyText"/>
        <w:rPr>
          <w:color w:val="333333" w:themeColor="background1"/>
        </w:rPr>
      </w:pPr>
      <w:r w:rsidRPr="00F041AD">
        <w:rPr>
          <w:color w:val="333333" w:themeColor="background1"/>
        </w:rPr>
        <w:t xml:space="preserve">Funded through a U.S. Department of Energy grant, the 2025 Energy Action Plan outlines actionable steps for priority strategies and technologies over the next ten years. The Action Plan includes indicators that illustrate Minnesota's current energy landscape, and can be used to track and communicate the impacts of the action plan. Ultimately, the Action Plan aims to help advance clean and affordable energy for all Minnesotans. </w:t>
      </w:r>
    </w:p>
    <w:p w14:paraId="757DCDA1" w14:textId="77777777" w:rsidR="00B65A50" w:rsidRPr="00F041AD" w:rsidRDefault="00B65A50" w:rsidP="006D6CF7">
      <w:pPr>
        <w:pStyle w:val="5BodyText"/>
        <w:rPr>
          <w:color w:val="333333" w:themeColor="background1"/>
        </w:rPr>
      </w:pPr>
    </w:p>
    <w:p w14:paraId="4C19A9FF" w14:textId="0CD0B512" w:rsidR="00B65A50" w:rsidRPr="00F041AD" w:rsidRDefault="00B65A50" w:rsidP="007F3F44">
      <w:pPr>
        <w:pStyle w:val="6BodyHighlight"/>
        <w:rPr>
          <w:color w:val="333333" w:themeColor="background1"/>
        </w:rPr>
      </w:pPr>
      <w:bookmarkStart w:id="48" w:name="_Toc319794247"/>
      <w:bookmarkStart w:id="49" w:name="_Toc322961595"/>
      <w:r w:rsidRPr="00F041AD">
        <w:rPr>
          <w:color w:val="333333" w:themeColor="background1"/>
        </w:rPr>
        <w:t>Purpose statement</w:t>
      </w:r>
      <w:bookmarkEnd w:id="48"/>
      <w:bookmarkEnd w:id="49"/>
      <w:r w:rsidRPr="00F041AD">
        <w:rPr>
          <w:color w:val="333333" w:themeColor="background1"/>
        </w:rPr>
        <w:t xml:space="preserve"> </w:t>
      </w:r>
    </w:p>
    <w:p w14:paraId="0F9B6C56" w14:textId="77777777" w:rsidR="00B65A50" w:rsidRPr="00F041AD" w:rsidRDefault="00B65A50" w:rsidP="006D6CF7">
      <w:pPr>
        <w:pStyle w:val="5BodyText"/>
        <w:rPr>
          <w:color w:val="333333" w:themeColor="background1"/>
        </w:rPr>
      </w:pPr>
      <w:r w:rsidRPr="00F041AD">
        <w:rPr>
          <w:color w:val="333333" w:themeColor="background1"/>
        </w:rPr>
        <w:t>The purpose of the 2025 Energy Action Plan is to develop indicators and action plans to significantly advance a number of strategies and technologies for clean, efficient energy in Minnesota between now and 2025. Building upon related efforts, the Energy Action Plan will develop recommended next steps to leverage near-term opportunities to increase clean, affordable, reliable, and resilient energy in the state.</w:t>
      </w:r>
    </w:p>
    <w:p w14:paraId="3DBF2092" w14:textId="77777777" w:rsidR="00B65A50" w:rsidRPr="00F041AD" w:rsidRDefault="00B65A50" w:rsidP="006D6CF7">
      <w:pPr>
        <w:pStyle w:val="5BodyText"/>
        <w:rPr>
          <w:color w:val="333333" w:themeColor="background1"/>
        </w:rPr>
      </w:pPr>
    </w:p>
    <w:p w14:paraId="5897EAC5" w14:textId="7D3330F2" w:rsidR="00B65A50" w:rsidRPr="00F041AD" w:rsidRDefault="00B65A50" w:rsidP="007F3F44">
      <w:pPr>
        <w:pStyle w:val="6BodyHighlight"/>
        <w:rPr>
          <w:color w:val="333333" w:themeColor="background1"/>
        </w:rPr>
      </w:pPr>
      <w:bookmarkStart w:id="50" w:name="_Toc319794248"/>
      <w:bookmarkStart w:id="51" w:name="_Toc322961596"/>
      <w:r w:rsidRPr="00F041AD">
        <w:rPr>
          <w:color w:val="333333" w:themeColor="background1"/>
        </w:rPr>
        <w:t>Intended audience and scope</w:t>
      </w:r>
      <w:bookmarkEnd w:id="50"/>
      <w:bookmarkEnd w:id="51"/>
    </w:p>
    <w:p w14:paraId="57166500" w14:textId="77777777" w:rsidR="00B65A50" w:rsidRPr="00F041AD" w:rsidRDefault="00B65A50" w:rsidP="006D6CF7">
      <w:pPr>
        <w:pStyle w:val="5BodyText"/>
        <w:rPr>
          <w:color w:val="333333" w:themeColor="background1"/>
        </w:rPr>
      </w:pPr>
      <w:r w:rsidRPr="00F041AD">
        <w:rPr>
          <w:color w:val="333333" w:themeColor="background1"/>
        </w:rPr>
        <w:t>The intended audience of the 2025 Energy Action Plan includes the Legislative Energy Commission, the Minnesota Department of Commerce, local government, business leaders, nonprofit professionals, university and academic professionals, and the broader Minnesota public.</w:t>
      </w:r>
    </w:p>
    <w:p w14:paraId="112D9E40" w14:textId="77777777" w:rsidR="00B65A50" w:rsidRPr="00F041AD" w:rsidRDefault="00B65A50" w:rsidP="006D6CF7">
      <w:pPr>
        <w:pStyle w:val="5BodyText"/>
        <w:rPr>
          <w:color w:val="333333" w:themeColor="background1"/>
        </w:rPr>
      </w:pPr>
    </w:p>
    <w:p w14:paraId="1E1CAA49" w14:textId="15022A3F" w:rsidR="00B65A50" w:rsidRPr="00F041AD" w:rsidRDefault="00B65A50" w:rsidP="006D6CF7">
      <w:pPr>
        <w:pStyle w:val="5BodyText"/>
        <w:rPr>
          <w:color w:val="333333" w:themeColor="background1"/>
        </w:rPr>
      </w:pPr>
      <w:r w:rsidRPr="00F041AD">
        <w:rPr>
          <w:color w:val="333333" w:themeColor="background1"/>
        </w:rPr>
        <w:t>The 2025 Energy Action Plan focuses on near-term, cross-sector strategies that add value to Minnesota’s dynamic energy landscape. While the scope of these strategies is wide, this is not intended to be a comprehensive energy plan for the state. The 2025 Energy Action Plan contains recommended strategies under five categories:</w:t>
      </w:r>
    </w:p>
    <w:p w14:paraId="0F1B5F06" w14:textId="77777777" w:rsidR="00B65A50" w:rsidRPr="00F041AD" w:rsidRDefault="00B65A50" w:rsidP="006D6CF7">
      <w:pPr>
        <w:pStyle w:val="5BodyText"/>
        <w:rPr>
          <w:color w:val="333333" w:themeColor="background1"/>
        </w:rPr>
      </w:pPr>
    </w:p>
    <w:p w14:paraId="4CBD6C5D" w14:textId="614617A0" w:rsidR="00B65A50" w:rsidRPr="00F041AD" w:rsidRDefault="00B65A50" w:rsidP="001D1907">
      <w:pPr>
        <w:pStyle w:val="5BodyText"/>
        <w:numPr>
          <w:ilvl w:val="0"/>
          <w:numId w:val="15"/>
        </w:numPr>
        <w:rPr>
          <w:color w:val="333333" w:themeColor="background1"/>
        </w:rPr>
      </w:pPr>
      <w:r w:rsidRPr="00F041AD">
        <w:rPr>
          <w:color w:val="333333" w:themeColor="background1"/>
        </w:rPr>
        <w:t>Transportation;</w:t>
      </w:r>
    </w:p>
    <w:p w14:paraId="19F30E52" w14:textId="36F5EAC2" w:rsidR="00B65A50" w:rsidRPr="00F041AD" w:rsidRDefault="00B65A50" w:rsidP="001D1907">
      <w:pPr>
        <w:pStyle w:val="5BodyText"/>
        <w:numPr>
          <w:ilvl w:val="0"/>
          <w:numId w:val="15"/>
        </w:numPr>
        <w:rPr>
          <w:color w:val="333333" w:themeColor="background1"/>
        </w:rPr>
      </w:pPr>
      <w:r w:rsidRPr="00F041AD">
        <w:rPr>
          <w:color w:val="333333" w:themeColor="background1"/>
        </w:rPr>
        <w:t>Energy supply and grid modernization;</w:t>
      </w:r>
    </w:p>
    <w:p w14:paraId="1C790DCC" w14:textId="323B0364" w:rsidR="00B65A50" w:rsidRPr="00F041AD" w:rsidRDefault="00B65A50" w:rsidP="001D1907">
      <w:pPr>
        <w:pStyle w:val="5BodyText"/>
        <w:numPr>
          <w:ilvl w:val="0"/>
          <w:numId w:val="15"/>
        </w:numPr>
        <w:rPr>
          <w:color w:val="333333" w:themeColor="background1"/>
        </w:rPr>
      </w:pPr>
      <w:r w:rsidRPr="00F041AD">
        <w:rPr>
          <w:color w:val="333333" w:themeColor="background1"/>
        </w:rPr>
        <w:t>Efficient buildings and integrated energy systems;</w:t>
      </w:r>
    </w:p>
    <w:p w14:paraId="6B1312D0" w14:textId="22872235" w:rsidR="00B65A50" w:rsidRPr="00F041AD" w:rsidRDefault="00B65A50" w:rsidP="001D1907">
      <w:pPr>
        <w:pStyle w:val="5BodyText"/>
        <w:numPr>
          <w:ilvl w:val="0"/>
          <w:numId w:val="15"/>
        </w:numPr>
        <w:rPr>
          <w:color w:val="333333" w:themeColor="background1"/>
        </w:rPr>
      </w:pPr>
      <w:r w:rsidRPr="00F041AD">
        <w:rPr>
          <w:color w:val="333333" w:themeColor="background1"/>
        </w:rPr>
        <w:t xml:space="preserve">Industry and agriculture; and </w:t>
      </w:r>
    </w:p>
    <w:p w14:paraId="55C5AF3F" w14:textId="42A9A149" w:rsidR="00B65A50" w:rsidRPr="00F041AD" w:rsidRDefault="00B65A50" w:rsidP="001D1907">
      <w:pPr>
        <w:pStyle w:val="5BodyText"/>
        <w:numPr>
          <w:ilvl w:val="0"/>
          <w:numId w:val="15"/>
        </w:numPr>
        <w:rPr>
          <w:color w:val="333333" w:themeColor="background1"/>
        </w:rPr>
      </w:pPr>
      <w:r w:rsidRPr="00F041AD">
        <w:rPr>
          <w:color w:val="333333" w:themeColor="background1"/>
        </w:rPr>
        <w:t xml:space="preserve">Local planning and action. </w:t>
      </w:r>
    </w:p>
    <w:p w14:paraId="1BE0DD21" w14:textId="77777777" w:rsidR="00B65A50" w:rsidRPr="00F041AD" w:rsidRDefault="00B65A50" w:rsidP="006D6CF7">
      <w:pPr>
        <w:pStyle w:val="5BodyText"/>
        <w:rPr>
          <w:color w:val="333333" w:themeColor="background1"/>
        </w:rPr>
      </w:pPr>
    </w:p>
    <w:p w14:paraId="1C8FFB47" w14:textId="3350D8FD" w:rsidR="00B65A50" w:rsidRPr="00F041AD" w:rsidRDefault="00B65A50" w:rsidP="007F3F44">
      <w:pPr>
        <w:pStyle w:val="6BodyHighlight"/>
        <w:rPr>
          <w:color w:val="333333" w:themeColor="background1"/>
        </w:rPr>
      </w:pPr>
      <w:bookmarkStart w:id="52" w:name="_Toc319794249"/>
      <w:bookmarkStart w:id="53" w:name="_Toc322961597"/>
      <w:r w:rsidRPr="00F041AD">
        <w:rPr>
          <w:color w:val="333333" w:themeColor="background1"/>
        </w:rPr>
        <w:t>Project team</w:t>
      </w:r>
      <w:bookmarkEnd w:id="52"/>
      <w:bookmarkEnd w:id="53"/>
    </w:p>
    <w:p w14:paraId="5AA7A6C9" w14:textId="4ADA24C2" w:rsidR="00B65A50" w:rsidRPr="00F041AD" w:rsidRDefault="00B65A50" w:rsidP="006D6CF7">
      <w:pPr>
        <w:pStyle w:val="5BodyText"/>
        <w:rPr>
          <w:color w:val="333333" w:themeColor="background1"/>
        </w:rPr>
      </w:pPr>
      <w:r w:rsidRPr="00F041AD">
        <w:rPr>
          <w:color w:val="333333" w:themeColor="background1"/>
        </w:rPr>
        <w:t>The Stakeholder Advisory Committee steered the development of the 2025 Energy Action Plan through three meetings held between July and December 2015 and through additional engagement outside of these meetings. The Committee ultimately selected the strategies and the baseline and outcome indicators. See Appendix A for a list of participants and observers.</w:t>
      </w:r>
    </w:p>
    <w:p w14:paraId="6CB65E9C" w14:textId="77777777" w:rsidR="00B65A50" w:rsidRPr="00F041AD" w:rsidRDefault="00B65A50" w:rsidP="006D6CF7">
      <w:pPr>
        <w:pStyle w:val="5BodyText"/>
        <w:rPr>
          <w:color w:val="333333" w:themeColor="background1"/>
        </w:rPr>
      </w:pPr>
    </w:p>
    <w:p w14:paraId="2B586E99" w14:textId="77777777" w:rsidR="00B65A50" w:rsidRPr="00F041AD" w:rsidRDefault="00B65A50" w:rsidP="006D6CF7">
      <w:pPr>
        <w:pStyle w:val="5BodyText"/>
        <w:rPr>
          <w:color w:val="333333" w:themeColor="background1"/>
        </w:rPr>
      </w:pPr>
      <w:r w:rsidRPr="00F041AD">
        <w:rPr>
          <w:color w:val="333333" w:themeColor="background1"/>
        </w:rPr>
        <w:t xml:space="preserve">The Minnesota Department of Commerce and the Legislative Energy Commission provided high-level guidance to assure that the project meets guidelines for US DOE funding and interfaces with state government and the legislature. </w:t>
      </w:r>
    </w:p>
    <w:p w14:paraId="7A97BB05" w14:textId="77777777" w:rsidR="00B65A50" w:rsidRPr="00F041AD" w:rsidRDefault="00B65A50" w:rsidP="006D6CF7">
      <w:pPr>
        <w:pStyle w:val="5BodyText"/>
        <w:rPr>
          <w:color w:val="333333" w:themeColor="background1"/>
        </w:rPr>
      </w:pPr>
    </w:p>
    <w:p w14:paraId="29EEAE0C" w14:textId="77777777" w:rsidR="00B65A50" w:rsidRPr="00F041AD" w:rsidRDefault="00B65A50" w:rsidP="006D6CF7">
      <w:pPr>
        <w:pStyle w:val="5BodyText"/>
        <w:rPr>
          <w:color w:val="333333" w:themeColor="background1"/>
        </w:rPr>
      </w:pPr>
      <w:r w:rsidRPr="00F041AD">
        <w:rPr>
          <w:color w:val="333333" w:themeColor="background1"/>
        </w:rPr>
        <w:t xml:space="preserve">The following consultants conducted analysis and research to support the deliberations of the Stakeholder Advisory Committee: Great Plains Institute (committee facilitation, stakeholder engagement); LHB, Inc. (metrics and indicators); and Rocky Mountain Institute (analysis and report development). </w:t>
      </w:r>
    </w:p>
    <w:p w14:paraId="4497C652" w14:textId="77777777" w:rsidR="00B65A50" w:rsidRPr="00F041AD" w:rsidRDefault="00B65A50" w:rsidP="006D6CF7">
      <w:pPr>
        <w:pStyle w:val="5BodyText"/>
        <w:rPr>
          <w:color w:val="333333" w:themeColor="background1"/>
        </w:rPr>
      </w:pPr>
    </w:p>
    <w:p w14:paraId="0DA007F7" w14:textId="136C2F31" w:rsidR="00B65A50" w:rsidRPr="00F041AD" w:rsidRDefault="00B65A50" w:rsidP="006D6CF7">
      <w:pPr>
        <w:pStyle w:val="5BodyText"/>
        <w:rPr>
          <w:color w:val="333333" w:themeColor="background1"/>
        </w:rPr>
      </w:pPr>
      <w:r w:rsidRPr="00F041AD">
        <w:rPr>
          <w:color w:val="333333" w:themeColor="background1"/>
        </w:rPr>
        <w:t>Additional project guidance and contributions came from Energy Systems Consulting, the Minnesota Environmental Quality Board, the Minnesota Pollution Control Agency, and the U.S. Department of Energy.</w:t>
      </w:r>
    </w:p>
    <w:p w14:paraId="4F5E4FD8" w14:textId="77777777" w:rsidR="00B65A50" w:rsidRPr="00F041AD" w:rsidRDefault="00B65A50" w:rsidP="006D6CF7">
      <w:pPr>
        <w:pStyle w:val="5BodyText"/>
        <w:rPr>
          <w:color w:val="333333" w:themeColor="background1"/>
        </w:rPr>
      </w:pPr>
    </w:p>
    <w:p w14:paraId="7029E563" w14:textId="1CCB1A0B" w:rsidR="00B65A50" w:rsidRPr="00F041AD" w:rsidRDefault="00B65A50" w:rsidP="007F3F44">
      <w:pPr>
        <w:pStyle w:val="6BodyHighlight"/>
        <w:rPr>
          <w:color w:val="333333" w:themeColor="background1"/>
        </w:rPr>
      </w:pPr>
      <w:bookmarkStart w:id="54" w:name="_Toc319794250"/>
      <w:bookmarkStart w:id="55" w:name="_Toc322961598"/>
      <w:r w:rsidRPr="00F041AD">
        <w:rPr>
          <w:color w:val="333333" w:themeColor="background1"/>
        </w:rPr>
        <w:t>Additional stakeholder engagement and research methods</w:t>
      </w:r>
      <w:bookmarkEnd w:id="54"/>
      <w:bookmarkEnd w:id="55"/>
    </w:p>
    <w:p w14:paraId="1251F197" w14:textId="77777777" w:rsidR="00B65A50" w:rsidRPr="00F041AD" w:rsidRDefault="00B65A50" w:rsidP="006D6CF7">
      <w:pPr>
        <w:pStyle w:val="5BodyText"/>
        <w:rPr>
          <w:color w:val="333333" w:themeColor="background1"/>
        </w:rPr>
      </w:pPr>
      <w:r w:rsidRPr="00F041AD">
        <w:rPr>
          <w:color w:val="333333" w:themeColor="background1"/>
        </w:rPr>
        <w:t xml:space="preserve">The project team reached additional stakeholders through the Metro and Greater Minnesota Clean Energy Resource Teams (CERTs) meetings, a presentation to the Minnesota Solar Energy Industry Association (SEIA), a food processors’ workshop, and the Great Plains Institute’s Energy Innovation Celebration </w:t>
      </w:r>
      <w:proofErr w:type="spellStart"/>
      <w:r w:rsidRPr="00F041AD">
        <w:rPr>
          <w:color w:val="333333" w:themeColor="background1"/>
        </w:rPr>
        <w:t>Collaboratory</w:t>
      </w:r>
      <w:proofErr w:type="spellEnd"/>
      <w:r w:rsidRPr="00F041AD">
        <w:rPr>
          <w:color w:val="333333" w:themeColor="background1"/>
        </w:rPr>
        <w:t xml:space="preserve">. In addition, the project team conducted over twenty interviews with stakeholder advisory committee members, observers, and other relevant stakeholders, and reviewed relevant literature and Minnesota-specific studies. </w:t>
      </w:r>
    </w:p>
    <w:p w14:paraId="6CADF39C" w14:textId="77777777" w:rsidR="00B65A50" w:rsidRPr="00F041AD" w:rsidRDefault="00B65A50" w:rsidP="006D6CF7">
      <w:pPr>
        <w:pStyle w:val="5BodyText"/>
        <w:rPr>
          <w:color w:val="333333" w:themeColor="background1"/>
        </w:rPr>
      </w:pPr>
    </w:p>
    <w:p w14:paraId="6867ABFE" w14:textId="5B8D1782" w:rsidR="00B65A50" w:rsidRPr="00F041AD" w:rsidRDefault="00B65A50" w:rsidP="007F3F44">
      <w:pPr>
        <w:pStyle w:val="6BodyHighlight"/>
        <w:rPr>
          <w:color w:val="333333" w:themeColor="background1"/>
        </w:rPr>
      </w:pPr>
      <w:bookmarkStart w:id="56" w:name="_Toc319794251"/>
      <w:bookmarkStart w:id="57" w:name="_Toc322961599"/>
      <w:r w:rsidRPr="00F041AD">
        <w:rPr>
          <w:color w:val="333333" w:themeColor="background1"/>
        </w:rPr>
        <w:t>Criteria for strategy selection</w:t>
      </w:r>
      <w:bookmarkEnd w:id="56"/>
      <w:bookmarkEnd w:id="57"/>
      <w:r w:rsidRPr="00F041AD">
        <w:rPr>
          <w:color w:val="333333" w:themeColor="background1"/>
        </w:rPr>
        <w:t xml:space="preserve"> </w:t>
      </w:r>
    </w:p>
    <w:p w14:paraId="6C3E2715" w14:textId="77777777" w:rsidR="00B65A50" w:rsidRPr="00F041AD" w:rsidRDefault="00B65A50" w:rsidP="006D6CF7">
      <w:pPr>
        <w:pStyle w:val="5BodyText"/>
        <w:rPr>
          <w:color w:val="333333" w:themeColor="background1"/>
        </w:rPr>
      </w:pPr>
      <w:r w:rsidRPr="00F041AD">
        <w:rPr>
          <w:color w:val="333333" w:themeColor="background1"/>
        </w:rPr>
        <w:t>The Stakeholder Advisory Committee and project team selected strategies for inclusion in the 2025 Energy Action Plan based on common criteria:</w:t>
      </w:r>
    </w:p>
    <w:p w14:paraId="276E3B7A" w14:textId="77777777" w:rsidR="00B65A50" w:rsidRPr="00F041AD" w:rsidRDefault="00B65A50" w:rsidP="006D6CF7">
      <w:pPr>
        <w:pStyle w:val="5BodyText"/>
        <w:rPr>
          <w:color w:val="333333" w:themeColor="background1"/>
        </w:rPr>
      </w:pPr>
    </w:p>
    <w:p w14:paraId="4AEC920F" w14:textId="77777777" w:rsidR="00B65A50" w:rsidRPr="00F041AD" w:rsidRDefault="00B65A50" w:rsidP="001D1907">
      <w:pPr>
        <w:pStyle w:val="5BodyText"/>
        <w:numPr>
          <w:ilvl w:val="0"/>
          <w:numId w:val="16"/>
        </w:numPr>
        <w:rPr>
          <w:color w:val="333333" w:themeColor="background1"/>
        </w:rPr>
      </w:pPr>
      <w:r w:rsidRPr="00F041AD">
        <w:rPr>
          <w:color w:val="333333" w:themeColor="background1"/>
        </w:rPr>
        <w:t xml:space="preserve">The strategy or technology’s potential </w:t>
      </w:r>
      <w:r w:rsidRPr="00F041AD">
        <w:rPr>
          <w:b/>
          <w:color w:val="333333" w:themeColor="background1"/>
        </w:rPr>
        <w:t>impact to support Minnesota’s current goals</w:t>
      </w:r>
      <w:r w:rsidRPr="00F041AD">
        <w:rPr>
          <w:color w:val="333333" w:themeColor="background1"/>
        </w:rPr>
        <w:t xml:space="preserve"> related to energy, climate and air quality, and environmental justice; </w:t>
      </w:r>
    </w:p>
    <w:p w14:paraId="70AC2203" w14:textId="3C6E6E7A" w:rsidR="00B65A50" w:rsidRPr="00F041AD" w:rsidRDefault="00B65A50" w:rsidP="001D1907">
      <w:pPr>
        <w:pStyle w:val="5BodyText"/>
        <w:numPr>
          <w:ilvl w:val="0"/>
          <w:numId w:val="16"/>
        </w:numPr>
        <w:rPr>
          <w:color w:val="333333" w:themeColor="background1"/>
        </w:rPr>
      </w:pPr>
      <w:r w:rsidRPr="00F041AD">
        <w:rPr>
          <w:color w:val="333333" w:themeColor="background1"/>
        </w:rPr>
        <w:t xml:space="preserve">The potential for the 2025 Energy Action Plan Project to </w:t>
      </w:r>
      <w:r w:rsidRPr="00F041AD">
        <w:rPr>
          <w:b/>
          <w:color w:val="333333" w:themeColor="background1"/>
        </w:rPr>
        <w:t>significantly advance progress towards clean energy</w:t>
      </w:r>
      <w:r w:rsidRPr="00F041AD">
        <w:rPr>
          <w:color w:val="333333" w:themeColor="background1"/>
        </w:rPr>
        <w:t xml:space="preserve"> on a particular strategy in the context of related projects in Minnesota;</w:t>
      </w:r>
    </w:p>
    <w:p w14:paraId="16A1C1C2" w14:textId="77777777" w:rsidR="00B65A50" w:rsidRPr="00F041AD" w:rsidRDefault="00B65A50" w:rsidP="001D1907">
      <w:pPr>
        <w:pStyle w:val="5BodyText"/>
        <w:numPr>
          <w:ilvl w:val="0"/>
          <w:numId w:val="16"/>
        </w:numPr>
        <w:rPr>
          <w:color w:val="333333" w:themeColor="background1"/>
        </w:rPr>
      </w:pPr>
      <w:r w:rsidRPr="00F041AD">
        <w:rPr>
          <w:color w:val="333333" w:themeColor="background1"/>
        </w:rPr>
        <w:t xml:space="preserve">Anticipated </w:t>
      </w:r>
      <w:r w:rsidRPr="00F041AD">
        <w:rPr>
          <w:b/>
          <w:color w:val="333333" w:themeColor="background1"/>
        </w:rPr>
        <w:t>benefits relative to costs</w:t>
      </w:r>
      <w:r w:rsidRPr="00F041AD">
        <w:rPr>
          <w:color w:val="333333" w:themeColor="background1"/>
        </w:rPr>
        <w:t>;</w:t>
      </w:r>
    </w:p>
    <w:p w14:paraId="5692DBE8" w14:textId="77777777" w:rsidR="00B65A50" w:rsidRPr="00F041AD" w:rsidRDefault="00B65A50" w:rsidP="001D1907">
      <w:pPr>
        <w:pStyle w:val="5BodyText"/>
        <w:numPr>
          <w:ilvl w:val="0"/>
          <w:numId w:val="16"/>
        </w:numPr>
        <w:rPr>
          <w:color w:val="333333" w:themeColor="background1"/>
        </w:rPr>
      </w:pPr>
      <w:r w:rsidRPr="00F041AD">
        <w:rPr>
          <w:b/>
          <w:color w:val="333333" w:themeColor="background1"/>
        </w:rPr>
        <w:t>Commitment</w:t>
      </w:r>
      <w:r w:rsidRPr="00F041AD">
        <w:rPr>
          <w:color w:val="333333" w:themeColor="background1"/>
        </w:rPr>
        <w:t xml:space="preserve"> by stakeholders or other champions to advancing the strategy and ability to leverage additional resources;</w:t>
      </w:r>
    </w:p>
    <w:p w14:paraId="5B0B4878" w14:textId="77777777" w:rsidR="00B65A50" w:rsidRPr="00F041AD" w:rsidRDefault="00B65A50" w:rsidP="001D1907">
      <w:pPr>
        <w:pStyle w:val="5BodyText"/>
        <w:numPr>
          <w:ilvl w:val="0"/>
          <w:numId w:val="16"/>
        </w:numPr>
        <w:rPr>
          <w:color w:val="333333" w:themeColor="background1"/>
        </w:rPr>
      </w:pPr>
      <w:r w:rsidRPr="00F041AD">
        <w:rPr>
          <w:color w:val="333333" w:themeColor="background1"/>
        </w:rPr>
        <w:t xml:space="preserve">Potential to provide </w:t>
      </w:r>
      <w:r w:rsidRPr="00F041AD">
        <w:rPr>
          <w:b/>
          <w:color w:val="333333" w:themeColor="background1"/>
        </w:rPr>
        <w:t>benefits across economic sectors</w:t>
      </w:r>
      <w:r w:rsidRPr="00F041AD">
        <w:rPr>
          <w:color w:val="333333" w:themeColor="background1"/>
        </w:rPr>
        <w:t>; and</w:t>
      </w:r>
    </w:p>
    <w:p w14:paraId="5AE800BA" w14:textId="491DEBE1" w:rsidR="00B65A50" w:rsidRPr="00F041AD" w:rsidRDefault="00B65A50" w:rsidP="001D1907">
      <w:pPr>
        <w:pStyle w:val="5BodyText"/>
        <w:numPr>
          <w:ilvl w:val="0"/>
          <w:numId w:val="16"/>
        </w:numPr>
        <w:rPr>
          <w:color w:val="333333" w:themeColor="background1"/>
        </w:rPr>
      </w:pPr>
      <w:r w:rsidRPr="00F041AD">
        <w:rPr>
          <w:b/>
          <w:color w:val="333333" w:themeColor="background1"/>
        </w:rPr>
        <w:lastRenderedPageBreak/>
        <w:t>A timeframe of ten years or less</w:t>
      </w:r>
      <w:r w:rsidRPr="00F041AD">
        <w:rPr>
          <w:color w:val="333333" w:themeColor="background1"/>
        </w:rPr>
        <w:t xml:space="preserve"> for implementation.</w:t>
      </w:r>
    </w:p>
    <w:p w14:paraId="4B71CB06" w14:textId="1BEEE959" w:rsidR="00B65A50" w:rsidRPr="00F041AD" w:rsidRDefault="00B65A50">
      <w:pPr>
        <w:rPr>
          <w:color w:val="333333" w:themeColor="background1"/>
          <w:sz w:val="20"/>
        </w:rPr>
      </w:pPr>
      <w:r w:rsidRPr="00F041AD">
        <w:rPr>
          <w:color w:val="333333" w:themeColor="background1"/>
        </w:rPr>
        <w:br w:type="page"/>
      </w:r>
    </w:p>
    <w:p w14:paraId="377ACBF5" w14:textId="11F25888" w:rsidR="00B65A50" w:rsidRPr="00F041AD" w:rsidRDefault="00B65A50" w:rsidP="00875F55">
      <w:pPr>
        <w:pStyle w:val="3SectionTitle"/>
        <w:rPr>
          <w:color w:val="333333" w:themeColor="background1"/>
        </w:rPr>
      </w:pPr>
      <w:bookmarkStart w:id="58" w:name="_Toc322933800"/>
      <w:bookmarkStart w:id="59" w:name="_Toc322961600"/>
      <w:bookmarkStart w:id="60" w:name="_Toc322962029"/>
      <w:bookmarkStart w:id="61" w:name="_Toc322962216"/>
      <w:r w:rsidRPr="00F041AD">
        <w:rPr>
          <w:color w:val="333333" w:themeColor="background1"/>
        </w:rPr>
        <w:lastRenderedPageBreak/>
        <w:t>3. Minnesota’s Energy Landscape</w:t>
      </w:r>
      <w:bookmarkEnd w:id="58"/>
      <w:bookmarkEnd w:id="59"/>
      <w:bookmarkEnd w:id="60"/>
      <w:bookmarkEnd w:id="61"/>
    </w:p>
    <w:p w14:paraId="072CD96D" w14:textId="77777777" w:rsidR="00B65A50" w:rsidRPr="00F041AD" w:rsidRDefault="00B65A50" w:rsidP="007F3F44">
      <w:pPr>
        <w:pStyle w:val="6BodyHighlight"/>
        <w:rPr>
          <w:color w:val="333333" w:themeColor="background1"/>
        </w:rPr>
      </w:pPr>
    </w:p>
    <w:p w14:paraId="3927F8AB" w14:textId="3DA8936F" w:rsidR="00B65A50" w:rsidRPr="00F041AD" w:rsidRDefault="00B65A50" w:rsidP="007F3F44">
      <w:pPr>
        <w:pStyle w:val="6BodyHighlight"/>
        <w:rPr>
          <w:color w:val="333333" w:themeColor="background1"/>
        </w:rPr>
      </w:pPr>
      <w:bookmarkStart w:id="62" w:name="_Toc322961601"/>
      <w:r w:rsidRPr="00F041AD">
        <w:rPr>
          <w:color w:val="333333" w:themeColor="background1"/>
        </w:rPr>
        <w:t>Section summary</w:t>
      </w:r>
      <w:bookmarkEnd w:id="62"/>
    </w:p>
    <w:p w14:paraId="3C8B2EC6" w14:textId="77777777" w:rsidR="00B65A50" w:rsidRPr="00F041AD" w:rsidRDefault="00B65A50" w:rsidP="005E1C9A">
      <w:pPr>
        <w:pStyle w:val="5BodyText"/>
        <w:rPr>
          <w:color w:val="333333" w:themeColor="background1"/>
        </w:rPr>
      </w:pPr>
      <w:r w:rsidRPr="00F041AD">
        <w:rPr>
          <w:color w:val="333333" w:themeColor="background1"/>
        </w:rPr>
        <w:t>In this section, we describe Minnesota’s energy landscape, including trends in energy supply and consumption across sectors, and historic and projected greenhouse gas emissions.</w:t>
      </w:r>
    </w:p>
    <w:p w14:paraId="428E3F37" w14:textId="0ACC9F7A" w:rsidR="00B65A50" w:rsidRPr="00F041AD" w:rsidRDefault="00B65A50" w:rsidP="001D1907">
      <w:pPr>
        <w:pStyle w:val="5BodyText"/>
        <w:numPr>
          <w:ilvl w:val="0"/>
          <w:numId w:val="17"/>
        </w:numPr>
        <w:rPr>
          <w:color w:val="333333" w:themeColor="background1"/>
        </w:rPr>
      </w:pPr>
      <w:r w:rsidRPr="00F041AD">
        <w:rPr>
          <w:color w:val="333333" w:themeColor="background1"/>
        </w:rPr>
        <w:t xml:space="preserve">Minnesota has no fossil fuels and imports 72 percent of its </w:t>
      </w:r>
      <w:r w:rsidR="00C32BE8">
        <w:rPr>
          <w:color w:val="333333" w:themeColor="background1"/>
        </w:rPr>
        <w:t xml:space="preserve">total </w:t>
      </w:r>
      <w:r w:rsidRPr="00F041AD">
        <w:rPr>
          <w:color w:val="333333" w:themeColor="background1"/>
        </w:rPr>
        <w:t>energy supply.</w:t>
      </w:r>
      <w:r w:rsidRPr="00F041AD">
        <w:rPr>
          <w:rStyle w:val="EndnoteReference"/>
          <w:color w:val="333333" w:themeColor="background1"/>
        </w:rPr>
        <w:endnoteReference w:id="25"/>
      </w:r>
    </w:p>
    <w:p w14:paraId="661C004A" w14:textId="44FAC12E" w:rsidR="00B65A50" w:rsidRPr="00F041AD" w:rsidRDefault="00B65A50" w:rsidP="001D1907">
      <w:pPr>
        <w:pStyle w:val="5BodyText"/>
        <w:numPr>
          <w:ilvl w:val="0"/>
          <w:numId w:val="17"/>
        </w:numPr>
        <w:rPr>
          <w:color w:val="333333" w:themeColor="background1"/>
        </w:rPr>
      </w:pPr>
      <w:r w:rsidRPr="00F041AD">
        <w:rPr>
          <w:color w:val="333333" w:themeColor="background1"/>
        </w:rPr>
        <w:t>Even so, renewable energy makes up an increasing share of the state’s energy mix, with 21 percent of electricity coming from renewables in 2015.</w:t>
      </w:r>
      <w:r w:rsidRPr="00F041AD">
        <w:rPr>
          <w:rStyle w:val="EndnoteReference"/>
          <w:color w:val="333333" w:themeColor="background1"/>
        </w:rPr>
        <w:endnoteReference w:id="26"/>
      </w:r>
    </w:p>
    <w:p w14:paraId="5B43F285" w14:textId="0E6106A3" w:rsidR="00B65A50" w:rsidRPr="00F041AD" w:rsidRDefault="00B65A50" w:rsidP="001D1907">
      <w:pPr>
        <w:pStyle w:val="5BodyText"/>
        <w:numPr>
          <w:ilvl w:val="0"/>
          <w:numId w:val="17"/>
        </w:numPr>
        <w:rPr>
          <w:color w:val="333333" w:themeColor="background1"/>
        </w:rPr>
      </w:pPr>
      <w:r w:rsidRPr="00F041AD">
        <w:rPr>
          <w:color w:val="333333" w:themeColor="background1"/>
        </w:rPr>
        <w:t>While the state’s emissions decreased slightly from 2012 to 2015, total emissions are expected to surpass the state’s goals for 2015 and 2025 levels.</w:t>
      </w:r>
      <w:r w:rsidRPr="00F041AD">
        <w:rPr>
          <w:rStyle w:val="EndnoteReference"/>
          <w:color w:val="333333" w:themeColor="background1"/>
        </w:rPr>
        <w:endnoteReference w:id="27"/>
      </w:r>
    </w:p>
    <w:p w14:paraId="58BBB7C6" w14:textId="77777777" w:rsidR="00B65A50" w:rsidRPr="00F041AD" w:rsidRDefault="00B65A50" w:rsidP="005E1C9A">
      <w:pPr>
        <w:pStyle w:val="5BodyText"/>
        <w:rPr>
          <w:color w:val="333333" w:themeColor="background1"/>
        </w:rPr>
      </w:pPr>
    </w:p>
    <w:p w14:paraId="34861081" w14:textId="26697575" w:rsidR="00B65A50" w:rsidRPr="00F041AD" w:rsidRDefault="00B65A50" w:rsidP="007F3F44">
      <w:pPr>
        <w:pStyle w:val="6BodyHighlight"/>
        <w:rPr>
          <w:color w:val="333333" w:themeColor="background1"/>
        </w:rPr>
      </w:pPr>
      <w:bookmarkStart w:id="63" w:name="_Toc322961602"/>
      <w:r w:rsidRPr="00F041AD">
        <w:rPr>
          <w:color w:val="333333" w:themeColor="background1"/>
        </w:rPr>
        <w:t>What is shaping Minnesota’s energy future?</w:t>
      </w:r>
      <w:bookmarkEnd w:id="63"/>
    </w:p>
    <w:p w14:paraId="1633FC15" w14:textId="77777777" w:rsidR="00B65A50" w:rsidRPr="00F041AD" w:rsidRDefault="00B65A50" w:rsidP="005E1C9A">
      <w:pPr>
        <w:pStyle w:val="5BodyText"/>
        <w:rPr>
          <w:color w:val="333333" w:themeColor="background1"/>
        </w:rPr>
      </w:pPr>
      <w:r w:rsidRPr="00F041AD">
        <w:rPr>
          <w:color w:val="333333" w:themeColor="background1"/>
        </w:rPr>
        <w:t>A variety of factors are contributing to a changing energy landscape in Minnesota and throughout the country, including:</w:t>
      </w:r>
    </w:p>
    <w:p w14:paraId="635A7596" w14:textId="6638C952" w:rsidR="00B65A50" w:rsidRPr="00F041AD" w:rsidRDefault="00B65A50" w:rsidP="001D1907">
      <w:pPr>
        <w:pStyle w:val="5BodyText"/>
        <w:numPr>
          <w:ilvl w:val="0"/>
          <w:numId w:val="18"/>
        </w:numPr>
        <w:rPr>
          <w:b/>
          <w:color w:val="333333" w:themeColor="background1"/>
        </w:rPr>
      </w:pPr>
      <w:r w:rsidRPr="00F041AD">
        <w:rPr>
          <w:b/>
          <w:color w:val="333333" w:themeColor="background1"/>
        </w:rPr>
        <w:t xml:space="preserve">Market trends </w:t>
      </w:r>
      <w:r w:rsidRPr="00F041AD">
        <w:rPr>
          <w:color w:val="333333" w:themeColor="background1"/>
        </w:rPr>
        <w:t>toward cleaner, cost-competitive energy technologies and increased demand for customer choice;</w:t>
      </w:r>
      <w:r w:rsidRPr="00F041AD">
        <w:rPr>
          <w:rStyle w:val="EndnoteReference"/>
          <w:color w:val="333333" w:themeColor="background1"/>
        </w:rPr>
        <w:endnoteReference w:id="28"/>
      </w:r>
    </w:p>
    <w:p w14:paraId="205DF208" w14:textId="6CBBB4F0" w:rsidR="00B65A50" w:rsidRPr="00F041AD" w:rsidRDefault="00B65A50" w:rsidP="001D1907">
      <w:pPr>
        <w:pStyle w:val="5BodyText"/>
        <w:numPr>
          <w:ilvl w:val="0"/>
          <w:numId w:val="18"/>
        </w:numPr>
        <w:rPr>
          <w:b/>
          <w:color w:val="333333" w:themeColor="background1"/>
        </w:rPr>
      </w:pPr>
      <w:r w:rsidRPr="00F041AD">
        <w:rPr>
          <w:b/>
          <w:color w:val="333333" w:themeColor="background1"/>
        </w:rPr>
        <w:t xml:space="preserve">Federal legislation and regulations </w:t>
      </w:r>
      <w:r w:rsidRPr="00F041AD">
        <w:rPr>
          <w:color w:val="333333" w:themeColor="background1"/>
        </w:rPr>
        <w:t>that are incentivizing renewable energy production</w:t>
      </w:r>
      <w:r w:rsidRPr="00F041AD">
        <w:rPr>
          <w:rStyle w:val="EndnoteReference"/>
          <w:color w:val="333333" w:themeColor="background1"/>
        </w:rPr>
        <w:endnoteReference w:id="29"/>
      </w:r>
      <w:r w:rsidRPr="00F041AD">
        <w:rPr>
          <w:color w:val="333333" w:themeColor="background1"/>
        </w:rPr>
        <w:t xml:space="preserve"> and limiting emissions;</w:t>
      </w:r>
      <w:r w:rsidRPr="00F041AD">
        <w:rPr>
          <w:rStyle w:val="EndnoteReference"/>
          <w:color w:val="333333" w:themeColor="background1"/>
        </w:rPr>
        <w:endnoteReference w:id="30"/>
      </w:r>
      <w:r w:rsidRPr="00F041AD">
        <w:rPr>
          <w:color w:val="333333" w:themeColor="background1"/>
        </w:rPr>
        <w:t xml:space="preserve"> and</w:t>
      </w:r>
    </w:p>
    <w:p w14:paraId="4F1ADE05" w14:textId="77777777" w:rsidR="00B65A50" w:rsidRPr="00F041AD" w:rsidRDefault="00B65A50" w:rsidP="001D1907">
      <w:pPr>
        <w:pStyle w:val="5BodyText"/>
        <w:numPr>
          <w:ilvl w:val="0"/>
          <w:numId w:val="18"/>
        </w:numPr>
        <w:rPr>
          <w:color w:val="333333" w:themeColor="background1"/>
        </w:rPr>
      </w:pPr>
      <w:r w:rsidRPr="00F041AD">
        <w:rPr>
          <w:b/>
          <w:color w:val="333333" w:themeColor="background1"/>
        </w:rPr>
        <w:t xml:space="preserve">State policies and goals </w:t>
      </w:r>
      <w:r w:rsidRPr="00F041AD">
        <w:rPr>
          <w:color w:val="333333" w:themeColor="background1"/>
        </w:rPr>
        <w:t>that encourage energy efficiency, clean energy development, and reduced carbon emissions.</w:t>
      </w:r>
    </w:p>
    <w:p w14:paraId="54C439BC" w14:textId="77777777" w:rsidR="00B65A50" w:rsidRPr="00F041AD" w:rsidRDefault="00B65A50" w:rsidP="005E1C9A">
      <w:pPr>
        <w:pStyle w:val="5BodyText"/>
        <w:rPr>
          <w:b/>
          <w:color w:val="333333" w:themeColor="background1"/>
        </w:rPr>
      </w:pPr>
    </w:p>
    <w:p w14:paraId="06E7CBEC" w14:textId="44E0CE1C" w:rsidR="00B65A50" w:rsidRPr="00F041AD" w:rsidRDefault="00B65A50" w:rsidP="007F3F44">
      <w:pPr>
        <w:pStyle w:val="6BodyHighlight"/>
        <w:rPr>
          <w:color w:val="333333" w:themeColor="background1"/>
        </w:rPr>
      </w:pPr>
      <w:bookmarkStart w:id="64" w:name="_Toc322961603"/>
      <w:r w:rsidRPr="00F041AD">
        <w:rPr>
          <w:color w:val="333333" w:themeColor="background1"/>
        </w:rPr>
        <w:t>Looking ahead</w:t>
      </w:r>
      <w:bookmarkEnd w:id="64"/>
    </w:p>
    <w:p w14:paraId="0586E26C" w14:textId="77777777" w:rsidR="00B65A50" w:rsidRPr="00F041AD" w:rsidRDefault="00B65A50" w:rsidP="005E1C9A">
      <w:pPr>
        <w:pStyle w:val="5BodyText"/>
        <w:rPr>
          <w:color w:val="333333" w:themeColor="background1"/>
        </w:rPr>
      </w:pPr>
      <w:r w:rsidRPr="00F041AD">
        <w:rPr>
          <w:color w:val="333333" w:themeColor="background1"/>
        </w:rPr>
        <w:t xml:space="preserve">Minnesota has made great progress towards meeting its energy policies and goals, but there are opportunities to make further progress. A number of additional pathways exist for Minnesota to meet—or potentially exceed—its policies and goals, capturing additional value and advancing a clean, affordable, reliable, and resilient energy system. </w:t>
      </w:r>
    </w:p>
    <w:p w14:paraId="22A8F9DD" w14:textId="77777777" w:rsidR="00B65A50" w:rsidRPr="00F041AD" w:rsidRDefault="00B65A50" w:rsidP="005E1C9A">
      <w:pPr>
        <w:pStyle w:val="5BodyText"/>
        <w:rPr>
          <w:color w:val="333333" w:themeColor="background1"/>
        </w:rPr>
      </w:pPr>
    </w:p>
    <w:p w14:paraId="478668B4" w14:textId="212F5D41" w:rsidR="00B65A50" w:rsidRPr="00F041AD" w:rsidRDefault="00B65A50" w:rsidP="007F3F44">
      <w:pPr>
        <w:pStyle w:val="6BodyHighlight"/>
        <w:rPr>
          <w:color w:val="333333" w:themeColor="background1"/>
        </w:rPr>
      </w:pPr>
      <w:bookmarkStart w:id="65" w:name="_Toc322961604"/>
      <w:r w:rsidRPr="00F041AD">
        <w:rPr>
          <w:color w:val="333333" w:themeColor="background1"/>
        </w:rPr>
        <w:t>Opportunities for further progress</w:t>
      </w:r>
      <w:bookmarkEnd w:id="65"/>
    </w:p>
    <w:p w14:paraId="0A6B9DEE" w14:textId="77777777" w:rsidR="00B65A50" w:rsidRPr="00F041AD" w:rsidRDefault="00B65A50" w:rsidP="005E1C9A">
      <w:pPr>
        <w:pStyle w:val="5BodyText"/>
        <w:rPr>
          <w:color w:val="333333" w:themeColor="background1"/>
        </w:rPr>
      </w:pPr>
      <w:r w:rsidRPr="00F041AD">
        <w:rPr>
          <w:color w:val="333333" w:themeColor="background1"/>
        </w:rPr>
        <w:t xml:space="preserve">Stakeholders identified five key categories of opportunity for Minnesota to pursue: </w:t>
      </w:r>
    </w:p>
    <w:p w14:paraId="5D967373" w14:textId="77777777" w:rsidR="00B65A50" w:rsidRPr="00F041AD" w:rsidRDefault="00B65A50" w:rsidP="001D1907">
      <w:pPr>
        <w:pStyle w:val="5BodyText"/>
        <w:numPr>
          <w:ilvl w:val="0"/>
          <w:numId w:val="19"/>
        </w:numPr>
        <w:rPr>
          <w:color w:val="333333" w:themeColor="background1"/>
        </w:rPr>
      </w:pPr>
      <w:r w:rsidRPr="00F041AD">
        <w:rPr>
          <w:color w:val="333333" w:themeColor="background1"/>
        </w:rPr>
        <w:t xml:space="preserve">Transportation; </w:t>
      </w:r>
    </w:p>
    <w:p w14:paraId="6FD7E142" w14:textId="77777777" w:rsidR="00B65A50" w:rsidRPr="00F041AD" w:rsidRDefault="00B65A50" w:rsidP="001D1907">
      <w:pPr>
        <w:pStyle w:val="5BodyText"/>
        <w:numPr>
          <w:ilvl w:val="0"/>
          <w:numId w:val="19"/>
        </w:numPr>
        <w:rPr>
          <w:color w:val="333333" w:themeColor="background1"/>
        </w:rPr>
      </w:pPr>
      <w:r w:rsidRPr="00F041AD">
        <w:rPr>
          <w:color w:val="333333" w:themeColor="background1"/>
        </w:rPr>
        <w:t xml:space="preserve">Energy supply and grid modernization; </w:t>
      </w:r>
    </w:p>
    <w:p w14:paraId="47E9A30D" w14:textId="77777777" w:rsidR="00B65A50" w:rsidRPr="00F041AD" w:rsidRDefault="00B65A50" w:rsidP="001D1907">
      <w:pPr>
        <w:pStyle w:val="5BodyText"/>
        <w:numPr>
          <w:ilvl w:val="0"/>
          <w:numId w:val="19"/>
        </w:numPr>
        <w:rPr>
          <w:color w:val="333333" w:themeColor="background1"/>
        </w:rPr>
      </w:pPr>
      <w:r w:rsidRPr="00F041AD">
        <w:rPr>
          <w:color w:val="333333" w:themeColor="background1"/>
        </w:rPr>
        <w:t>Efficient buildings and integrated energy systems;</w:t>
      </w:r>
    </w:p>
    <w:p w14:paraId="69211026" w14:textId="30C084D6" w:rsidR="00B65A50" w:rsidRPr="00F041AD" w:rsidRDefault="00B65A50" w:rsidP="001D1907">
      <w:pPr>
        <w:pStyle w:val="5BodyText"/>
        <w:numPr>
          <w:ilvl w:val="0"/>
          <w:numId w:val="19"/>
        </w:numPr>
        <w:rPr>
          <w:color w:val="333333" w:themeColor="background1"/>
        </w:rPr>
      </w:pPr>
      <w:r w:rsidRPr="00F041AD">
        <w:rPr>
          <w:color w:val="333333" w:themeColor="background1"/>
        </w:rPr>
        <w:t>Industr</w:t>
      </w:r>
      <w:r w:rsidR="00C32BE8">
        <w:rPr>
          <w:color w:val="333333" w:themeColor="background1"/>
        </w:rPr>
        <w:t>ial</w:t>
      </w:r>
      <w:r w:rsidRPr="00F041AD">
        <w:rPr>
          <w:color w:val="333333" w:themeColor="background1"/>
        </w:rPr>
        <w:t xml:space="preserve"> and agricultur</w:t>
      </w:r>
      <w:r w:rsidR="00C32BE8">
        <w:rPr>
          <w:color w:val="333333" w:themeColor="background1"/>
        </w:rPr>
        <w:t>al sectors</w:t>
      </w:r>
      <w:r w:rsidRPr="00F041AD">
        <w:rPr>
          <w:color w:val="333333" w:themeColor="background1"/>
        </w:rPr>
        <w:t>; and</w:t>
      </w:r>
    </w:p>
    <w:p w14:paraId="34756742" w14:textId="77777777" w:rsidR="00B65A50" w:rsidRPr="00F041AD" w:rsidRDefault="00B65A50" w:rsidP="001D1907">
      <w:pPr>
        <w:pStyle w:val="5BodyText"/>
        <w:numPr>
          <w:ilvl w:val="0"/>
          <w:numId w:val="19"/>
        </w:numPr>
        <w:rPr>
          <w:color w:val="333333" w:themeColor="background1"/>
        </w:rPr>
      </w:pPr>
      <w:r w:rsidRPr="00F041AD">
        <w:rPr>
          <w:color w:val="333333" w:themeColor="background1"/>
        </w:rPr>
        <w:t>Local planning and action.</w:t>
      </w:r>
    </w:p>
    <w:p w14:paraId="17072692" w14:textId="77777777" w:rsidR="00B65A50" w:rsidRPr="00F041AD" w:rsidRDefault="00B65A50" w:rsidP="005E1C9A">
      <w:pPr>
        <w:pStyle w:val="5BodyText"/>
        <w:rPr>
          <w:color w:val="333333" w:themeColor="background1"/>
        </w:rPr>
      </w:pPr>
    </w:p>
    <w:p w14:paraId="067E8F8D" w14:textId="743252F6" w:rsidR="00B65A50" w:rsidRPr="00F041AD" w:rsidRDefault="00B65A50" w:rsidP="001D7211">
      <w:pPr>
        <w:pStyle w:val="5BodyText"/>
        <w:pBdr>
          <w:bottom w:val="single" w:sz="6" w:space="31" w:color="auto"/>
        </w:pBdr>
        <w:rPr>
          <w:color w:val="333333" w:themeColor="background1"/>
        </w:rPr>
      </w:pPr>
      <w:r w:rsidRPr="00F041AD">
        <w:rPr>
          <w:color w:val="333333" w:themeColor="background1"/>
        </w:rPr>
        <w:lastRenderedPageBreak/>
        <w:t>This section concludes with guidelines for how to read and use this Energy Action Plan.</w:t>
      </w:r>
    </w:p>
    <w:p w14:paraId="30DC2ACA" w14:textId="77777777" w:rsidR="001D7211" w:rsidRPr="00F041AD" w:rsidRDefault="001D7211" w:rsidP="00270202">
      <w:pPr>
        <w:rPr>
          <w:color w:val="333333" w:themeColor="background1"/>
        </w:rPr>
      </w:pPr>
    </w:p>
    <w:p w14:paraId="5380F54E" w14:textId="77777777" w:rsidR="001D7211" w:rsidRPr="00F041AD" w:rsidRDefault="001D7211" w:rsidP="001D7211">
      <w:pPr>
        <w:rPr>
          <w:color w:val="333333" w:themeColor="background1"/>
        </w:rPr>
      </w:pPr>
    </w:p>
    <w:p w14:paraId="32E5A37D" w14:textId="550ADA22" w:rsidR="00B65A50" w:rsidRPr="00F041AD" w:rsidRDefault="001D7211" w:rsidP="001D7211">
      <w:pPr>
        <w:pStyle w:val="5BodyText"/>
        <w:rPr>
          <w:color w:val="333333" w:themeColor="background1"/>
        </w:rPr>
      </w:pPr>
      <w:r w:rsidRPr="00F041AD">
        <w:rPr>
          <w:color w:val="333333" w:themeColor="background1"/>
        </w:rPr>
        <w:t xml:space="preserve">In this section, we summarize Minnesota’s energy landscape, including energy supply and consumption, as well as historic and projected greenhouse gas emissions. </w:t>
      </w:r>
    </w:p>
    <w:p w14:paraId="1C5F294A" w14:textId="77777777" w:rsidR="001D7211" w:rsidRPr="00F041AD" w:rsidRDefault="001D7211" w:rsidP="001D7211">
      <w:pPr>
        <w:pStyle w:val="5BodyText"/>
        <w:rPr>
          <w:color w:val="333333" w:themeColor="background1"/>
        </w:rPr>
      </w:pPr>
    </w:p>
    <w:p w14:paraId="1F86C907" w14:textId="3A84BA9D" w:rsidR="00B65A50" w:rsidRPr="00F041AD" w:rsidRDefault="00B65A50" w:rsidP="007F3F44">
      <w:pPr>
        <w:pStyle w:val="6BodyHighlight"/>
        <w:rPr>
          <w:color w:val="333333" w:themeColor="background1"/>
          <w:sz w:val="20"/>
        </w:rPr>
      </w:pPr>
      <w:bookmarkStart w:id="66" w:name="_Toc322961605"/>
      <w:r w:rsidRPr="00F041AD">
        <w:rPr>
          <w:color w:val="333333" w:themeColor="background1"/>
        </w:rPr>
        <w:t>Energy supply</w:t>
      </w:r>
      <w:bookmarkEnd w:id="66"/>
    </w:p>
    <w:p w14:paraId="319C0DD7" w14:textId="0A3A0592" w:rsidR="00C03AF3" w:rsidRPr="00F041AD" w:rsidRDefault="00B65A50" w:rsidP="002F1E06">
      <w:pPr>
        <w:pStyle w:val="5BodyText"/>
        <w:rPr>
          <w:color w:val="333333" w:themeColor="background1"/>
        </w:rPr>
      </w:pPr>
      <w:r w:rsidRPr="00F041AD">
        <w:rPr>
          <w:color w:val="333333" w:themeColor="background1"/>
        </w:rPr>
        <w:t>Minnesota has no indigenous fossil fuel reserves to supply its energy needs; the state imports its fossil fuel supply, which represents 72 percent of the state’s total energy supply</w:t>
      </w:r>
      <w:r w:rsidR="00290CB6" w:rsidRPr="00F041AD">
        <w:rPr>
          <w:color w:val="333333" w:themeColor="background1"/>
        </w:rPr>
        <w:t xml:space="preserve"> (see </w:t>
      </w:r>
      <w:r w:rsidR="00290CB6" w:rsidRPr="00F041AD">
        <w:rPr>
          <w:color w:val="333333" w:themeColor="background1"/>
        </w:rPr>
        <w:fldChar w:fldCharType="begin"/>
      </w:r>
      <w:r w:rsidR="00290CB6" w:rsidRPr="00F041AD">
        <w:rPr>
          <w:color w:val="333333" w:themeColor="background1"/>
        </w:rPr>
        <w:instrText xml:space="preserve"> REF _Ref322944169 \h </w:instrText>
      </w:r>
      <w:r w:rsidR="00290CB6" w:rsidRPr="00F041AD">
        <w:rPr>
          <w:color w:val="333333" w:themeColor="background1"/>
        </w:rPr>
      </w:r>
      <w:r w:rsidR="00290CB6" w:rsidRPr="00F041AD">
        <w:rPr>
          <w:color w:val="333333" w:themeColor="background1"/>
        </w:rPr>
        <w:fldChar w:fldCharType="separate"/>
      </w:r>
      <w:r w:rsidR="00171E58" w:rsidRPr="00F041AD">
        <w:rPr>
          <w:color w:val="333333" w:themeColor="background1"/>
        </w:rPr>
        <w:t xml:space="preserve">Figure </w:t>
      </w:r>
      <w:r w:rsidR="00171E58">
        <w:rPr>
          <w:noProof/>
          <w:color w:val="333333" w:themeColor="background1"/>
        </w:rPr>
        <w:t>1</w:t>
      </w:r>
      <w:r w:rsidR="00290CB6" w:rsidRPr="00F041AD">
        <w:rPr>
          <w:color w:val="333333" w:themeColor="background1"/>
        </w:rPr>
        <w:fldChar w:fldCharType="end"/>
      </w:r>
      <w:r w:rsidR="00290CB6" w:rsidRPr="00F041AD">
        <w:rPr>
          <w:color w:val="333333" w:themeColor="background1"/>
        </w:rPr>
        <w:t xml:space="preserve"> below)</w:t>
      </w:r>
      <w:r w:rsidRPr="00F041AD">
        <w:rPr>
          <w:rFonts w:asciiTheme="majorHAnsi" w:hAnsiTheme="majorHAnsi"/>
          <w:color w:val="333333" w:themeColor="background1"/>
        </w:rPr>
        <w:t>.</w:t>
      </w:r>
      <w:r w:rsidRPr="00F041AD">
        <w:rPr>
          <w:rStyle w:val="EndnoteReference"/>
          <w:rFonts w:asciiTheme="majorHAnsi" w:hAnsiTheme="majorHAnsi"/>
          <w:color w:val="333333" w:themeColor="background1"/>
        </w:rPr>
        <w:endnoteReference w:id="31"/>
      </w:r>
      <w:r w:rsidRPr="00F041AD">
        <w:rPr>
          <w:rFonts w:asciiTheme="majorHAnsi" w:hAnsiTheme="majorHAnsi"/>
          <w:color w:val="333333" w:themeColor="background1"/>
        </w:rPr>
        <w:t xml:space="preserve"> However, Minnesota has an abundant supply of wind, solar, and bio-based energy. In 2013, Minnesota ranked fourth in the nation in ethanol production capacity.</w:t>
      </w:r>
      <w:r w:rsidRPr="00F041AD">
        <w:rPr>
          <w:rStyle w:val="EndnoteReference"/>
          <w:rFonts w:asciiTheme="majorHAnsi" w:hAnsiTheme="majorHAnsi"/>
          <w:color w:val="333333" w:themeColor="background1"/>
        </w:rPr>
        <w:endnoteReference w:id="32"/>
      </w:r>
      <w:r w:rsidRPr="00F041AD">
        <w:rPr>
          <w:rFonts w:asciiTheme="majorHAnsi" w:hAnsiTheme="majorHAnsi"/>
          <w:color w:val="333333" w:themeColor="background1"/>
        </w:rPr>
        <w:t xml:space="preserve"> In addition, Minnesota ranks among the top 10 states in electricity generation from wind,</w:t>
      </w:r>
      <w:r w:rsidRPr="00F041AD">
        <w:rPr>
          <w:rStyle w:val="EndnoteReference"/>
          <w:rFonts w:asciiTheme="majorHAnsi" w:hAnsiTheme="majorHAnsi"/>
          <w:color w:val="333333" w:themeColor="background1"/>
          <w:highlight w:val="white"/>
        </w:rPr>
        <w:endnoteReference w:id="33"/>
      </w:r>
      <w:r w:rsidRPr="00F041AD">
        <w:rPr>
          <w:rFonts w:asciiTheme="majorHAnsi" w:hAnsiTheme="majorHAnsi"/>
          <w:color w:val="333333" w:themeColor="background1"/>
        </w:rPr>
        <w:t xml:space="preserve"> and renewable resources continue to make up an increasing share of the state’s energy supply.</w:t>
      </w:r>
      <w:r w:rsidRPr="00F041AD">
        <w:rPr>
          <w:rFonts w:asciiTheme="majorHAnsi" w:hAnsiTheme="majorHAnsi"/>
          <w:color w:val="333333" w:themeColor="background1"/>
          <w:vertAlign w:val="superscript"/>
        </w:rPr>
        <w:endnoteReference w:id="34"/>
      </w:r>
      <w:r w:rsidRPr="00F041AD">
        <w:rPr>
          <w:color w:val="333333" w:themeColor="background1"/>
        </w:rPr>
        <w:t xml:space="preserve"> </w:t>
      </w:r>
    </w:p>
    <w:p w14:paraId="4ACBB6DD" w14:textId="77777777" w:rsidR="00C03AF3" w:rsidRPr="00F041AD" w:rsidRDefault="00C03AF3" w:rsidP="002F1E06">
      <w:pPr>
        <w:pStyle w:val="5BodyText"/>
        <w:rPr>
          <w:color w:val="333333" w:themeColor="background1"/>
        </w:rPr>
      </w:pPr>
    </w:p>
    <w:p w14:paraId="4192B2A3" w14:textId="6DCA2907" w:rsidR="00B65A50" w:rsidRPr="00F041AD" w:rsidRDefault="00400DF3" w:rsidP="00400DF3">
      <w:pPr>
        <w:pStyle w:val="7Caption"/>
        <w:rPr>
          <w:color w:val="333333" w:themeColor="background1"/>
        </w:rPr>
      </w:pPr>
      <w:bookmarkStart w:id="67" w:name="_Ref322944169"/>
      <w:bookmarkStart w:id="68" w:name="_Toc322958510"/>
      <w:r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1</w:t>
      </w:r>
      <w:r w:rsidR="0010025D" w:rsidRPr="00F041AD">
        <w:rPr>
          <w:noProof/>
          <w:color w:val="333333" w:themeColor="background1"/>
        </w:rPr>
        <w:fldChar w:fldCharType="end"/>
      </w:r>
      <w:bookmarkEnd w:id="67"/>
      <w:r w:rsidR="001D7211" w:rsidRPr="00F041AD">
        <w:rPr>
          <w:noProof/>
          <w:color w:val="333333" w:themeColor="background1"/>
        </w:rPr>
        <w:t>:</w:t>
      </w:r>
      <w:r w:rsidRPr="00F041AD">
        <w:rPr>
          <w:color w:val="333333" w:themeColor="background1"/>
        </w:rPr>
        <w:t xml:space="preserve"> Minnesota Energy Supply</w:t>
      </w:r>
      <w:r w:rsidR="000627E0" w:rsidRPr="00F041AD">
        <w:rPr>
          <w:color w:val="333333" w:themeColor="background1"/>
        </w:rPr>
        <w:t xml:space="preserve"> by Source, 2013</w:t>
      </w:r>
      <w:bookmarkEnd w:id="68"/>
    </w:p>
    <w:p w14:paraId="1BED697E" w14:textId="255608C2" w:rsidR="00604040" w:rsidRPr="00F041AD" w:rsidRDefault="00400DF3" w:rsidP="002F1E06">
      <w:pPr>
        <w:pStyle w:val="5BodyText"/>
        <w:rPr>
          <w:color w:val="333333" w:themeColor="background1"/>
        </w:rPr>
      </w:pPr>
      <w:r w:rsidRPr="00F041AD">
        <w:rPr>
          <w:noProof/>
          <w:color w:val="333333" w:themeColor="background1"/>
          <w:lang w:eastAsia="en-US"/>
        </w:rPr>
        <w:drawing>
          <wp:inline distT="0" distB="0" distL="0" distR="0" wp14:anchorId="709AB644" wp14:editId="0F29689B">
            <wp:extent cx="4618355" cy="2783840"/>
            <wp:effectExtent l="0" t="0" r="29845" b="355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E655DA" w14:textId="11F1B48B" w:rsidR="00604040" w:rsidRPr="00F041AD" w:rsidRDefault="003F7848" w:rsidP="002F1E06">
      <w:pPr>
        <w:pStyle w:val="5BodyText"/>
        <w:rPr>
          <w:rFonts w:asciiTheme="majorHAnsi" w:hAnsiTheme="majorHAnsi"/>
          <w:color w:val="333333" w:themeColor="background1"/>
          <w:sz w:val="12"/>
        </w:rPr>
      </w:pPr>
      <w:r w:rsidRPr="00F041AD">
        <w:rPr>
          <w:color w:val="333333" w:themeColor="background1"/>
          <w:sz w:val="16"/>
        </w:rPr>
        <w:t>Source: U.S. Energy Information Administration,</w:t>
      </w:r>
      <w:r w:rsidRPr="00F041AD">
        <w:rPr>
          <w:rFonts w:ascii="Calibri" w:hAnsi="Calibri"/>
          <w:color w:val="333333" w:themeColor="background1"/>
        </w:rPr>
        <w:t xml:space="preserve"> </w:t>
      </w:r>
      <w:r w:rsidRPr="00F041AD">
        <w:rPr>
          <w:rFonts w:asciiTheme="majorHAnsi" w:hAnsiTheme="majorHAnsi"/>
          <w:color w:val="333333" w:themeColor="background1"/>
          <w:sz w:val="16"/>
        </w:rPr>
        <w:t>“Table CT1. Total End-Use Energy Consumption Estimates, 1960-2013, Minnesota.”</w:t>
      </w:r>
    </w:p>
    <w:p w14:paraId="03B982C3" w14:textId="77777777" w:rsidR="00270202" w:rsidRPr="00F041AD" w:rsidRDefault="00270202" w:rsidP="002F1E06">
      <w:pPr>
        <w:pStyle w:val="5BodyText"/>
        <w:rPr>
          <w:color w:val="333333" w:themeColor="background1"/>
        </w:rPr>
      </w:pPr>
    </w:p>
    <w:p w14:paraId="37CC553D" w14:textId="1026432D" w:rsidR="00B65A50" w:rsidRPr="00F041AD" w:rsidRDefault="00B65A50" w:rsidP="003A5F56">
      <w:pPr>
        <w:pStyle w:val="7Caption"/>
        <w:rPr>
          <w:color w:val="333333" w:themeColor="background1"/>
        </w:rPr>
      </w:pPr>
      <w:bookmarkStart w:id="69" w:name="_Toc322958511"/>
      <w:r w:rsidRPr="00F041AD">
        <w:rPr>
          <w:color w:val="333333" w:themeColor="background1"/>
        </w:rPr>
        <w:lastRenderedPageBreak/>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2</w:t>
      </w:r>
      <w:r w:rsidR="0010025D" w:rsidRPr="00F041AD">
        <w:rPr>
          <w:noProof/>
          <w:color w:val="333333" w:themeColor="background1"/>
        </w:rPr>
        <w:fldChar w:fldCharType="end"/>
      </w:r>
      <w:r w:rsidRPr="00F041AD">
        <w:rPr>
          <w:color w:val="333333" w:themeColor="background1"/>
        </w:rPr>
        <w:t xml:space="preserve">: Renewables as a percent of Minnesota's </w:t>
      </w:r>
      <w:r w:rsidR="00224824" w:rsidRPr="00F041AD">
        <w:rPr>
          <w:color w:val="333333" w:themeColor="background1"/>
        </w:rPr>
        <w:t>total</w:t>
      </w:r>
      <w:r w:rsidRPr="00F041AD">
        <w:rPr>
          <w:color w:val="333333" w:themeColor="background1"/>
        </w:rPr>
        <w:t xml:space="preserve"> energy supply, 2005-2013</w:t>
      </w:r>
      <w:bookmarkEnd w:id="69"/>
    </w:p>
    <w:p w14:paraId="34EECAB2" w14:textId="1B047F8A" w:rsidR="00B65A50" w:rsidRPr="00F041AD" w:rsidRDefault="003A5F56" w:rsidP="002F1E06">
      <w:pPr>
        <w:pStyle w:val="5BodyText"/>
        <w:rPr>
          <w:color w:val="333333" w:themeColor="background1"/>
        </w:rPr>
      </w:pPr>
      <w:r w:rsidRPr="00F041AD">
        <w:rPr>
          <w:noProof/>
          <w:color w:val="333333" w:themeColor="background1"/>
          <w:lang w:eastAsia="en-US"/>
        </w:rPr>
        <w:drawing>
          <wp:inline distT="0" distB="0" distL="0" distR="0" wp14:anchorId="169D7EB1" wp14:editId="2B485BA0">
            <wp:extent cx="5647055" cy="3243580"/>
            <wp:effectExtent l="0" t="0" r="17145" b="330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A41D70" w14:textId="00A7FA5D" w:rsidR="005D1971" w:rsidRPr="00F041AD" w:rsidRDefault="003A5F56" w:rsidP="008D7274">
      <w:pPr>
        <w:pStyle w:val="5BodyText"/>
        <w:rPr>
          <w:rFonts w:asciiTheme="majorHAnsi" w:hAnsiTheme="majorHAnsi"/>
          <w:color w:val="333333" w:themeColor="background1"/>
          <w:sz w:val="12"/>
        </w:rPr>
      </w:pPr>
      <w:r w:rsidRPr="00F041AD">
        <w:rPr>
          <w:color w:val="333333" w:themeColor="background1"/>
          <w:sz w:val="16"/>
        </w:rPr>
        <w:t>Source: U.S. Energy Information Administration</w:t>
      </w:r>
      <w:r w:rsidR="00920E43" w:rsidRPr="00F041AD">
        <w:rPr>
          <w:color w:val="333333" w:themeColor="background1"/>
          <w:sz w:val="16"/>
        </w:rPr>
        <w:t>,</w:t>
      </w:r>
      <w:r w:rsidR="00920E43" w:rsidRPr="00F041AD">
        <w:rPr>
          <w:rFonts w:ascii="Calibri" w:hAnsi="Calibri"/>
          <w:color w:val="333333" w:themeColor="background1"/>
        </w:rPr>
        <w:t xml:space="preserve"> </w:t>
      </w:r>
      <w:r w:rsidR="00920E43" w:rsidRPr="00F041AD">
        <w:rPr>
          <w:rFonts w:asciiTheme="majorHAnsi" w:hAnsiTheme="majorHAnsi"/>
          <w:color w:val="333333" w:themeColor="background1"/>
          <w:sz w:val="16"/>
        </w:rPr>
        <w:t>“Table CT1. Total End-Use Energy Consumption Estimates, 1960-2013, Minnesota.”</w:t>
      </w:r>
    </w:p>
    <w:p w14:paraId="4B4C734E" w14:textId="77777777" w:rsidR="00FD7016" w:rsidRPr="00F041AD" w:rsidRDefault="00FD7016" w:rsidP="007F3F44">
      <w:pPr>
        <w:pStyle w:val="6BodyHighlight"/>
        <w:rPr>
          <w:color w:val="333333" w:themeColor="background1"/>
        </w:rPr>
      </w:pPr>
    </w:p>
    <w:p w14:paraId="38BCE324" w14:textId="25FF21E3" w:rsidR="006A63A3" w:rsidRPr="00F041AD" w:rsidRDefault="006A63A3" w:rsidP="007F3F44">
      <w:pPr>
        <w:pStyle w:val="6BodyHighlight"/>
        <w:rPr>
          <w:color w:val="333333" w:themeColor="background1"/>
        </w:rPr>
      </w:pPr>
      <w:bookmarkStart w:id="70" w:name="_Toc322961606"/>
      <w:r w:rsidRPr="00F041AD">
        <w:rPr>
          <w:color w:val="333333" w:themeColor="background1"/>
        </w:rPr>
        <w:t>Electricity Supply</w:t>
      </w:r>
      <w:bookmarkEnd w:id="70"/>
    </w:p>
    <w:p w14:paraId="35654EDE" w14:textId="47C3B697" w:rsidR="00B65A50" w:rsidRPr="00F041AD" w:rsidRDefault="001C531E" w:rsidP="00856307">
      <w:pPr>
        <w:pStyle w:val="5BodyText"/>
        <w:rPr>
          <w:color w:val="333333" w:themeColor="background1"/>
        </w:rPr>
      </w:pPr>
      <w:r w:rsidRPr="00F041AD">
        <w:rPr>
          <w:noProof/>
          <w:color w:val="333333" w:themeColor="background1"/>
          <w:lang w:eastAsia="en-US"/>
        </w:rPr>
        <mc:AlternateContent>
          <mc:Choice Requires="wps">
            <w:drawing>
              <wp:anchor distT="0" distB="0" distL="114300" distR="114300" simplePos="0" relativeHeight="251702272" behindDoc="0" locked="0" layoutInCell="1" allowOverlap="1" wp14:anchorId="05C9A313" wp14:editId="17FEED34">
                <wp:simplePos x="0" y="0"/>
                <wp:positionH relativeFrom="column">
                  <wp:posOffset>3631565</wp:posOffset>
                </wp:positionH>
                <wp:positionV relativeFrom="paragraph">
                  <wp:posOffset>5715</wp:posOffset>
                </wp:positionV>
                <wp:extent cx="2703195" cy="1351280"/>
                <wp:effectExtent l="0" t="0" r="0" b="1270"/>
                <wp:wrapSquare wrapText="bothSides"/>
                <wp:docPr id="23" name="Text Box 23"/>
                <wp:cNvGraphicFramePr/>
                <a:graphic xmlns:a="http://schemas.openxmlformats.org/drawingml/2006/main">
                  <a:graphicData uri="http://schemas.microsoft.com/office/word/2010/wordprocessingShape">
                    <wps:wsp>
                      <wps:cNvSpPr txBox="1"/>
                      <wps:spPr>
                        <a:xfrm>
                          <a:off x="0" y="0"/>
                          <a:ext cx="2703195" cy="1351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9209B6" w14:textId="77777777" w:rsidR="006506BB" w:rsidRPr="003A1415" w:rsidRDefault="006506BB" w:rsidP="005D1971">
                            <w:pPr>
                              <w:pStyle w:val="4Quote"/>
                              <w:rPr>
                                <w:sz w:val="36"/>
                              </w:rPr>
                            </w:pPr>
                            <w:r w:rsidRPr="003A1415">
                              <w:rPr>
                                <w:sz w:val="36"/>
                              </w:rPr>
                              <w:t>In 2015, renewable resources made up 21% of Minnesota’s electricity generation.</w:t>
                            </w:r>
                          </w:p>
                          <w:p w14:paraId="3C8B70B8" w14:textId="77777777" w:rsidR="006506BB" w:rsidRDefault="006506BB" w:rsidP="005D19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28" type="#_x0000_t202" style="position:absolute;margin-left:285.95pt;margin-top:.45pt;width:212.85pt;height:10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" filled="f" stroked="f">
                <v:textbox>
                  <w:txbxContent>
                    <w:p w14:paraId="4B9209B6" w14:textId="77777777" w:rsidR="006506BB" w:rsidRPr="003A1415" w:rsidRDefault="006506BB" w:rsidP="005D1971">
                      <w:pPr>
                        <w:pStyle w:val="4Quote"/>
                        <w:rPr>
                          <w:sz w:val="36"/>
                        </w:rPr>
                      </w:pPr>
                      <w:r w:rsidRPr="003A1415">
                        <w:rPr>
                          <w:sz w:val="36"/>
                        </w:rPr>
                        <w:t>In 2015, renewable resources made up 21% of Minnesota’s electricity generation.</w:t>
                      </w:r>
                    </w:p>
                    <w:p w14:paraId="3C8B70B8" w14:textId="77777777" w:rsidR="006506BB" w:rsidRDefault="006506BB" w:rsidP="005D1971"/>
                  </w:txbxContent>
                </v:textbox>
                <w10:wrap type="square"/>
              </v:shape>
            </w:pict>
          </mc:Fallback>
        </mc:AlternateContent>
      </w:r>
      <w:r w:rsidR="00B65A50" w:rsidRPr="00F041AD">
        <w:rPr>
          <w:color w:val="333333" w:themeColor="background1"/>
        </w:rPr>
        <w:t>Within the electricity sector, renewables make up a larger and growing share of total energy used to produce electricity, accounting for 21 percent of annual generation in Minnesota.</w:t>
      </w:r>
      <w:r w:rsidR="00B65A50" w:rsidRPr="00F041AD">
        <w:rPr>
          <w:color w:val="333333" w:themeColor="background1"/>
          <w:vertAlign w:val="superscript"/>
        </w:rPr>
        <w:endnoteReference w:id="35"/>
      </w:r>
      <w:r w:rsidR="00B65A50" w:rsidRPr="00F041AD">
        <w:rPr>
          <w:color w:val="333333" w:themeColor="background1"/>
        </w:rPr>
        <w:t xml:space="preserve"> In addition to electricity generated in-state, electricity imports from neighboring states and Canada account for approximately 30 percent of the electricity used in the state.</w:t>
      </w:r>
      <w:r w:rsidR="00B65A50" w:rsidRPr="00F041AD">
        <w:rPr>
          <w:color w:val="333333" w:themeColor="background1"/>
          <w:vertAlign w:val="superscript"/>
        </w:rPr>
        <w:endnoteReference w:id="36"/>
      </w:r>
    </w:p>
    <w:p w14:paraId="64DB1A53" w14:textId="77777777" w:rsidR="005D1971" w:rsidRPr="00F041AD" w:rsidRDefault="005D1971" w:rsidP="00856307">
      <w:pPr>
        <w:pStyle w:val="5BodyText"/>
        <w:rPr>
          <w:color w:val="333333" w:themeColor="background1"/>
        </w:rPr>
      </w:pPr>
    </w:p>
    <w:p w14:paraId="448DD338" w14:textId="77777777" w:rsidR="005D1971" w:rsidRPr="00F041AD" w:rsidRDefault="005D1971" w:rsidP="00856307">
      <w:pPr>
        <w:pStyle w:val="5BodyText"/>
        <w:rPr>
          <w:color w:val="333333" w:themeColor="background1"/>
        </w:rPr>
      </w:pPr>
    </w:p>
    <w:p w14:paraId="0FECE8DC" w14:textId="77777777" w:rsidR="005D1971" w:rsidRPr="00F041AD" w:rsidRDefault="005D1971" w:rsidP="00856307">
      <w:pPr>
        <w:pStyle w:val="5BodyText"/>
        <w:rPr>
          <w:color w:val="333333" w:themeColor="background1"/>
        </w:rPr>
      </w:pPr>
    </w:p>
    <w:p w14:paraId="099DE432" w14:textId="37901B71" w:rsidR="00B65A50" w:rsidRPr="00F041AD" w:rsidRDefault="00B65A50" w:rsidP="00070F01">
      <w:pPr>
        <w:pStyle w:val="7Caption"/>
        <w:rPr>
          <w:color w:val="333333" w:themeColor="background1"/>
          <w:sz w:val="20"/>
        </w:rPr>
      </w:pPr>
      <w:bookmarkStart w:id="71" w:name="_Toc322958512"/>
      <w:r w:rsidRPr="00F041AD">
        <w:rPr>
          <w:color w:val="333333" w:themeColor="background1"/>
        </w:rPr>
        <w:lastRenderedPageBreak/>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3</w:t>
      </w:r>
      <w:r w:rsidR="0010025D" w:rsidRPr="00F041AD">
        <w:rPr>
          <w:noProof/>
          <w:color w:val="333333" w:themeColor="background1"/>
        </w:rPr>
        <w:fldChar w:fldCharType="end"/>
      </w:r>
      <w:r w:rsidRPr="00F041AD">
        <w:rPr>
          <w:color w:val="333333" w:themeColor="background1"/>
        </w:rPr>
        <w:t xml:space="preserve">: Minnesota </w:t>
      </w:r>
      <w:r w:rsidR="0070618E" w:rsidRPr="00F041AD">
        <w:rPr>
          <w:color w:val="333333" w:themeColor="background1"/>
        </w:rPr>
        <w:t xml:space="preserve">electricity generation </w:t>
      </w:r>
      <w:r w:rsidR="00224824" w:rsidRPr="00F041AD">
        <w:rPr>
          <w:color w:val="333333" w:themeColor="background1"/>
        </w:rPr>
        <w:t>by source</w:t>
      </w:r>
      <w:r w:rsidR="0070618E" w:rsidRPr="00F041AD">
        <w:rPr>
          <w:color w:val="333333" w:themeColor="background1"/>
        </w:rPr>
        <w:t>, 2005-2013</w:t>
      </w:r>
      <w:bookmarkEnd w:id="71"/>
    </w:p>
    <w:p w14:paraId="52E938E1" w14:textId="0E601A5F" w:rsidR="00B65A50" w:rsidRPr="00F041AD" w:rsidRDefault="0070618E" w:rsidP="002F1E06">
      <w:pPr>
        <w:pStyle w:val="5BodyText"/>
        <w:rPr>
          <w:color w:val="333333" w:themeColor="background1"/>
        </w:rPr>
      </w:pPr>
      <w:r w:rsidRPr="00F041AD">
        <w:rPr>
          <w:noProof/>
          <w:color w:val="333333" w:themeColor="background1"/>
          <w:lang w:eastAsia="en-US"/>
        </w:rPr>
        <w:drawing>
          <wp:inline distT="0" distB="0" distL="0" distR="0" wp14:anchorId="17E068CF" wp14:editId="11801090">
            <wp:extent cx="6104255" cy="3759200"/>
            <wp:effectExtent l="0" t="0" r="17145" b="254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93E01E7" w14:textId="659F9AF5" w:rsidR="00B65A50" w:rsidRPr="00F041AD" w:rsidRDefault="00B65A50" w:rsidP="002F1E06">
      <w:pPr>
        <w:pStyle w:val="5BodyText"/>
        <w:rPr>
          <w:rFonts w:asciiTheme="majorHAnsi" w:hAnsiTheme="majorHAnsi"/>
          <w:color w:val="333333" w:themeColor="background1"/>
          <w:sz w:val="12"/>
        </w:rPr>
      </w:pPr>
      <w:r w:rsidRPr="00F041AD">
        <w:rPr>
          <w:color w:val="333333" w:themeColor="background1"/>
          <w:sz w:val="16"/>
        </w:rPr>
        <w:t xml:space="preserve">Source: </w:t>
      </w:r>
      <w:r w:rsidR="0070618E" w:rsidRPr="00F041AD">
        <w:rPr>
          <w:color w:val="333333" w:themeColor="background1"/>
          <w:sz w:val="16"/>
        </w:rPr>
        <w:t>U.S. Energy Information Administration</w:t>
      </w:r>
      <w:r w:rsidR="00082937" w:rsidRPr="00F041AD">
        <w:rPr>
          <w:color w:val="333333" w:themeColor="background1"/>
          <w:sz w:val="16"/>
        </w:rPr>
        <w:t xml:space="preserve">, </w:t>
      </w:r>
      <w:r w:rsidR="00082937" w:rsidRPr="00F041AD">
        <w:rPr>
          <w:rFonts w:asciiTheme="majorHAnsi" w:hAnsiTheme="majorHAnsi"/>
          <w:color w:val="333333" w:themeColor="background1"/>
          <w:sz w:val="16"/>
        </w:rPr>
        <w:t>"Table CT8. Electric Power Sector Consumption Estimates, 1960-2013, Minnesota"</w:t>
      </w:r>
    </w:p>
    <w:p w14:paraId="279EC495" w14:textId="77777777" w:rsidR="00B65A50" w:rsidRPr="00F041AD" w:rsidRDefault="00B65A50" w:rsidP="002F1E06">
      <w:pPr>
        <w:pStyle w:val="5BodyText"/>
        <w:rPr>
          <w:rFonts w:asciiTheme="majorHAnsi" w:hAnsiTheme="majorHAnsi"/>
          <w:color w:val="333333" w:themeColor="background1"/>
          <w:sz w:val="16"/>
        </w:rPr>
      </w:pPr>
    </w:p>
    <w:p w14:paraId="5B1A8C26" w14:textId="77777777" w:rsidR="005D1971" w:rsidRPr="00F041AD" w:rsidRDefault="005D1971">
      <w:pPr>
        <w:rPr>
          <w:color w:val="333333" w:themeColor="background1"/>
          <w:sz w:val="20"/>
        </w:rPr>
      </w:pPr>
      <w:r w:rsidRPr="00F041AD">
        <w:rPr>
          <w:color w:val="333333" w:themeColor="background1"/>
        </w:rPr>
        <w:br w:type="page"/>
      </w:r>
    </w:p>
    <w:p w14:paraId="10E8498B" w14:textId="32A4D695" w:rsidR="00B65A50" w:rsidRPr="00F041AD" w:rsidRDefault="00B65A50" w:rsidP="002F1E06">
      <w:pPr>
        <w:pStyle w:val="5BodyText"/>
        <w:rPr>
          <w:color w:val="333333" w:themeColor="background1"/>
        </w:rPr>
      </w:pPr>
      <w:r w:rsidRPr="00F041AD">
        <w:rPr>
          <w:color w:val="333333" w:themeColor="background1"/>
        </w:rPr>
        <w:lastRenderedPageBreak/>
        <w:fldChar w:fldCharType="begin"/>
      </w:r>
      <w:r w:rsidRPr="00F041AD">
        <w:rPr>
          <w:color w:val="333333" w:themeColor="background1"/>
        </w:rPr>
        <w:instrText xml:space="preserve"> REF _Ref322689075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Figure </w:t>
      </w:r>
      <w:r w:rsidR="00171E58">
        <w:rPr>
          <w:noProof/>
          <w:color w:val="333333" w:themeColor="background1"/>
        </w:rPr>
        <w:t>4</w:t>
      </w:r>
      <w:r w:rsidRPr="00F041AD">
        <w:rPr>
          <w:color w:val="333333" w:themeColor="background1"/>
        </w:rPr>
        <w:fldChar w:fldCharType="end"/>
      </w:r>
      <w:r w:rsidRPr="00F041AD">
        <w:rPr>
          <w:color w:val="333333" w:themeColor="background1"/>
        </w:rPr>
        <w:t xml:space="preserve"> below illustrates Minnesota’s energy use, from primary fuel sources, through energy use by sector, to losses due to system inefficiencies. Notably, more than half of the energy that is produced in the state is wasted due to system inefficiencies, rendering only 42.3 percent of the energy produced useful.</w:t>
      </w:r>
    </w:p>
    <w:p w14:paraId="75382805" w14:textId="3B792621" w:rsidR="00B65A50" w:rsidRPr="00F041AD" w:rsidRDefault="00B65A50" w:rsidP="002F1E06">
      <w:pPr>
        <w:pStyle w:val="5BodyText"/>
        <w:rPr>
          <w:color w:val="333333" w:themeColor="background1"/>
        </w:rPr>
      </w:pPr>
    </w:p>
    <w:p w14:paraId="3A7C11A6" w14:textId="07827D37" w:rsidR="00B65A50" w:rsidRPr="00F041AD" w:rsidRDefault="00B65A50" w:rsidP="00070F01">
      <w:pPr>
        <w:pStyle w:val="7Caption"/>
        <w:rPr>
          <w:color w:val="333333" w:themeColor="background1"/>
        </w:rPr>
      </w:pPr>
      <w:bookmarkStart w:id="72" w:name="_Ref322689075"/>
      <w:bookmarkStart w:id="73" w:name="_Toc322958513"/>
      <w:r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4</w:t>
      </w:r>
      <w:r w:rsidR="0010025D" w:rsidRPr="00F041AD">
        <w:rPr>
          <w:noProof/>
          <w:color w:val="333333" w:themeColor="background1"/>
        </w:rPr>
        <w:fldChar w:fldCharType="end"/>
      </w:r>
      <w:bookmarkEnd w:id="72"/>
      <w:r w:rsidRPr="00F041AD">
        <w:rPr>
          <w:color w:val="333333" w:themeColor="background1"/>
        </w:rPr>
        <w:t>: Estimated Minnesota energy use in 2013, by source and sector</w:t>
      </w:r>
      <w:r w:rsidRPr="00F041AD">
        <w:rPr>
          <w:rFonts w:asciiTheme="minorHAnsi" w:hAnsiTheme="minorHAnsi"/>
          <w:noProof/>
          <w:color w:val="333333" w:themeColor="background1"/>
          <w:lang w:eastAsia="en-US"/>
        </w:rPr>
        <w:drawing>
          <wp:inline distT="0" distB="0" distL="0" distR="0" wp14:anchorId="3239E3E6" wp14:editId="71E8B55C">
            <wp:extent cx="6152613" cy="47540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nesota Energy Landscape_2013 (1).pdf"/>
                    <pic:cNvPicPr/>
                  </pic:nvPicPr>
                  <pic:blipFill>
                    <a:blip r:embed="rId25">
                      <a:extLst>
                        <a:ext uri="{28A0092B-C50C-407E-A947-70E740481C1C}">
                          <a14:useLocalDpi xmlns:a14="http://schemas.microsoft.com/office/drawing/2010/main" val="0"/>
                        </a:ext>
                      </a:extLst>
                    </a:blip>
                    <a:stretch>
                      <a:fillRect/>
                    </a:stretch>
                  </pic:blipFill>
                  <pic:spPr>
                    <a:xfrm>
                      <a:off x="0" y="0"/>
                      <a:ext cx="6152761" cy="4754147"/>
                    </a:xfrm>
                    <a:prstGeom prst="rect">
                      <a:avLst/>
                    </a:prstGeom>
                  </pic:spPr>
                </pic:pic>
              </a:graphicData>
            </a:graphic>
          </wp:inline>
        </w:drawing>
      </w:r>
      <w:bookmarkEnd w:id="73"/>
    </w:p>
    <w:p w14:paraId="340A64F2" w14:textId="2BE119E7" w:rsidR="00B65A50" w:rsidRPr="00F041AD" w:rsidRDefault="00B65A50" w:rsidP="002E51F9">
      <w:pPr>
        <w:pStyle w:val="5BodyText"/>
        <w:rPr>
          <w:color w:val="333333" w:themeColor="background1"/>
          <w:sz w:val="16"/>
        </w:rPr>
      </w:pPr>
      <w:r w:rsidRPr="00F041AD">
        <w:rPr>
          <w:color w:val="333333" w:themeColor="background1"/>
          <w:sz w:val="16"/>
        </w:rPr>
        <w:t>Source: LHB</w:t>
      </w:r>
      <w:r w:rsidR="00920E43" w:rsidRPr="00F041AD">
        <w:rPr>
          <w:color w:val="333333" w:themeColor="background1"/>
          <w:sz w:val="16"/>
        </w:rPr>
        <w:t>, Lawrence Livermore National Laboratory</w:t>
      </w:r>
      <w:r w:rsidR="00352BD1" w:rsidRPr="00F041AD">
        <w:rPr>
          <w:color w:val="333333" w:themeColor="background1"/>
          <w:sz w:val="16"/>
        </w:rPr>
        <w:t>, U.S. Energy Information Administration</w:t>
      </w:r>
    </w:p>
    <w:p w14:paraId="6C662572" w14:textId="77777777" w:rsidR="00B65A50" w:rsidRPr="00F041AD" w:rsidRDefault="00B65A50" w:rsidP="002E51F9">
      <w:pPr>
        <w:pStyle w:val="5BodyText"/>
        <w:rPr>
          <w:color w:val="333333" w:themeColor="background1"/>
        </w:rPr>
      </w:pPr>
    </w:p>
    <w:p w14:paraId="488F6167" w14:textId="77777777" w:rsidR="005D1971" w:rsidRPr="00F041AD" w:rsidRDefault="005D1971">
      <w:pPr>
        <w:rPr>
          <w:rFonts w:ascii="Helvetica Neue Medium" w:hAnsi="Helvetica Neue Medium"/>
          <w:color w:val="333333" w:themeColor="background1"/>
        </w:rPr>
      </w:pPr>
      <w:r w:rsidRPr="00F041AD">
        <w:rPr>
          <w:color w:val="333333" w:themeColor="background1"/>
        </w:rPr>
        <w:br w:type="page"/>
      </w:r>
    </w:p>
    <w:p w14:paraId="25B77589" w14:textId="247F73EF" w:rsidR="00B65A50" w:rsidRPr="00F041AD" w:rsidRDefault="00B65A50" w:rsidP="007F3F44">
      <w:pPr>
        <w:pStyle w:val="6BodyHighlight"/>
        <w:rPr>
          <w:color w:val="333333" w:themeColor="background1"/>
        </w:rPr>
      </w:pPr>
      <w:bookmarkStart w:id="74" w:name="_Toc322961607"/>
      <w:r w:rsidRPr="00F041AD">
        <w:rPr>
          <w:color w:val="333333" w:themeColor="background1"/>
        </w:rPr>
        <w:lastRenderedPageBreak/>
        <w:t>Energy consumption</w:t>
      </w:r>
      <w:bookmarkEnd w:id="74"/>
    </w:p>
    <w:p w14:paraId="40247290" w14:textId="77777777" w:rsidR="00171E58" w:rsidRPr="00F041AD" w:rsidRDefault="00B65A50" w:rsidP="00A75A00">
      <w:pPr>
        <w:pStyle w:val="5BodyText"/>
        <w:rPr>
          <w:color w:val="333333" w:themeColor="background1"/>
        </w:rPr>
      </w:pPr>
      <w:r w:rsidRPr="00F041AD">
        <w:rPr>
          <w:color w:val="333333" w:themeColor="background1"/>
        </w:rPr>
        <w:t xml:space="preserve">Following an increase in overall energy use from 1960-2005, Minnesota’s total energy consumption for industrial, commercial, residential and transportation use has remained relatively flat in recent years (see </w:t>
      </w:r>
      <w:r w:rsidRPr="00F041AD">
        <w:rPr>
          <w:color w:val="333333" w:themeColor="background1"/>
        </w:rPr>
        <w:fldChar w:fldCharType="begin"/>
      </w:r>
      <w:r w:rsidRPr="00F041AD">
        <w:rPr>
          <w:color w:val="333333" w:themeColor="background1"/>
        </w:rPr>
        <w:instrText xml:space="preserve"> REF _Ref322689813 \h </w:instrText>
      </w:r>
      <w:r w:rsidRPr="00F041AD">
        <w:rPr>
          <w:color w:val="333333" w:themeColor="background1"/>
        </w:rPr>
      </w:r>
      <w:r w:rsidRPr="00F041AD">
        <w:rPr>
          <w:color w:val="333333" w:themeColor="background1"/>
        </w:rPr>
        <w:fldChar w:fldCharType="separate"/>
      </w:r>
    </w:p>
    <w:p w14:paraId="514BD993" w14:textId="77777777" w:rsidR="00171E58" w:rsidRPr="00F041AD" w:rsidRDefault="00171E58" w:rsidP="00A75A00">
      <w:pPr>
        <w:pStyle w:val="5BodyText"/>
        <w:rPr>
          <w:color w:val="333333" w:themeColor="background1"/>
        </w:rPr>
      </w:pPr>
    </w:p>
    <w:p w14:paraId="7EEA6067" w14:textId="6D19B2E8" w:rsidR="005D1971" w:rsidRPr="00F041AD" w:rsidRDefault="00171E58" w:rsidP="00A75A00">
      <w:pPr>
        <w:pStyle w:val="5BodyText"/>
        <w:rPr>
          <w:color w:val="333333" w:themeColor="background1"/>
        </w:rPr>
      </w:pPr>
      <w:r w:rsidRPr="00F041AD">
        <w:rPr>
          <w:color w:val="333333" w:themeColor="background1"/>
        </w:rPr>
        <w:t xml:space="preserve">Figure </w:t>
      </w:r>
      <w:r>
        <w:rPr>
          <w:noProof/>
          <w:color w:val="333333" w:themeColor="background1"/>
        </w:rPr>
        <w:t>5</w:t>
      </w:r>
      <w:r w:rsidR="00B65A50" w:rsidRPr="00F041AD">
        <w:rPr>
          <w:color w:val="333333" w:themeColor="background1"/>
        </w:rPr>
        <w:fldChar w:fldCharType="end"/>
      </w:r>
      <w:r w:rsidR="00B65A50" w:rsidRPr="00F041AD">
        <w:rPr>
          <w:color w:val="333333" w:themeColor="background1"/>
        </w:rPr>
        <w:t xml:space="preserve">). In fact, energy consumption declined 1.8 percent from 2005 to 2013. The most notable drop in consumption occurred between 2008 and 2009, which may be partly attributed to the financial recession. </w:t>
      </w:r>
      <w:bookmarkStart w:id="75" w:name="_Ref322689813"/>
    </w:p>
    <w:p w14:paraId="4EF05260" w14:textId="77777777" w:rsidR="00FD7016" w:rsidRPr="00F041AD" w:rsidRDefault="00FD7016" w:rsidP="00A75A00">
      <w:pPr>
        <w:pStyle w:val="5BodyText"/>
        <w:rPr>
          <w:color w:val="333333" w:themeColor="background1"/>
        </w:rPr>
      </w:pPr>
    </w:p>
    <w:p w14:paraId="584C9C00" w14:textId="2160B1D3" w:rsidR="00B65A50" w:rsidRPr="00F041AD" w:rsidRDefault="00B65A50" w:rsidP="00070F01">
      <w:pPr>
        <w:pStyle w:val="7Caption"/>
        <w:rPr>
          <w:color w:val="333333" w:themeColor="background1"/>
        </w:rPr>
      </w:pPr>
      <w:bookmarkStart w:id="76" w:name="_Toc322958514"/>
      <w:r w:rsidRPr="00F041AD">
        <w:rPr>
          <w:color w:val="333333" w:themeColor="background1"/>
        </w:rPr>
        <w:lastRenderedPageBreak/>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5</w:t>
      </w:r>
      <w:r w:rsidR="0010025D" w:rsidRPr="00F041AD">
        <w:rPr>
          <w:noProof/>
          <w:color w:val="333333" w:themeColor="background1"/>
        </w:rPr>
        <w:fldChar w:fldCharType="end"/>
      </w:r>
      <w:bookmarkEnd w:id="75"/>
      <w:r w:rsidRPr="00F041AD">
        <w:rPr>
          <w:color w:val="333333" w:themeColor="background1"/>
        </w:rPr>
        <w:t>: Total Minnesota energy consumption, 1960-2013</w:t>
      </w:r>
      <w:bookmarkEnd w:id="76"/>
    </w:p>
    <w:p w14:paraId="1592B1F0" w14:textId="7363F298" w:rsidR="00B65A50" w:rsidRPr="00F041AD" w:rsidRDefault="00475D49" w:rsidP="00615E96">
      <w:pPr>
        <w:pStyle w:val="5BodyText"/>
        <w:keepNext/>
        <w:keepLines/>
        <w:rPr>
          <w:color w:val="333333" w:themeColor="background1"/>
        </w:rPr>
      </w:pPr>
      <w:r w:rsidRPr="00F041AD">
        <w:rPr>
          <w:noProof/>
          <w:color w:val="333333" w:themeColor="background1"/>
          <w:lang w:eastAsia="en-US"/>
        </w:rPr>
        <w:drawing>
          <wp:inline distT="0" distB="0" distL="0" distR="0" wp14:anchorId="5C5EB11F" wp14:editId="6787F082">
            <wp:extent cx="5486400" cy="2683510"/>
            <wp:effectExtent l="0" t="0" r="25400" b="3429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D2F28E" w14:textId="3009F540" w:rsidR="00B65A50" w:rsidRPr="00F041AD" w:rsidRDefault="00B65A50" w:rsidP="00615E96">
      <w:pPr>
        <w:pStyle w:val="5BodyText"/>
        <w:keepNext/>
        <w:keepLines/>
        <w:rPr>
          <w:color w:val="333333" w:themeColor="background1"/>
          <w:sz w:val="16"/>
        </w:rPr>
      </w:pPr>
      <w:r w:rsidRPr="00F041AD">
        <w:rPr>
          <w:color w:val="333333" w:themeColor="background1"/>
          <w:sz w:val="16"/>
        </w:rPr>
        <w:t>Source: U.S. Energy Information Agency: Primary Energy Consumption Estimates, 1960-2013, Minnesota</w:t>
      </w:r>
    </w:p>
    <w:p w14:paraId="79CD300B" w14:textId="77777777" w:rsidR="005D1971" w:rsidRPr="00F041AD" w:rsidRDefault="005D1971" w:rsidP="00F870FA">
      <w:pPr>
        <w:pStyle w:val="5BodyText"/>
        <w:keepNext/>
        <w:keepLines/>
        <w:rPr>
          <w:color w:val="333333" w:themeColor="background1"/>
        </w:rPr>
      </w:pPr>
    </w:p>
    <w:p w14:paraId="450A8049" w14:textId="0034334D" w:rsidR="00B65A50" w:rsidRPr="00F041AD" w:rsidRDefault="00B65A50" w:rsidP="00F870FA">
      <w:pPr>
        <w:pStyle w:val="5BodyText"/>
        <w:keepNext/>
        <w:keepLines/>
        <w:rPr>
          <w:color w:val="333333" w:themeColor="background1"/>
        </w:rPr>
      </w:pPr>
      <w:r w:rsidRPr="00F041AD">
        <w:rPr>
          <w:color w:val="333333" w:themeColor="background1"/>
        </w:rPr>
        <w:t xml:space="preserve">In 2013, the industrial sector led the state’s energy consumption by sector, followed by the transportation, residential, and commercial sectors, all at relatively similar levels of consumption (see </w:t>
      </w:r>
      <w:r w:rsidRPr="00F041AD">
        <w:rPr>
          <w:color w:val="333333" w:themeColor="background1"/>
        </w:rPr>
        <w:fldChar w:fldCharType="begin"/>
      </w:r>
      <w:r w:rsidRPr="00F041AD">
        <w:rPr>
          <w:color w:val="333333" w:themeColor="background1"/>
        </w:rPr>
        <w:instrText xml:space="preserve"> REF _Ref322701379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Figure </w:t>
      </w:r>
      <w:r w:rsidR="00171E58">
        <w:rPr>
          <w:noProof/>
          <w:color w:val="333333" w:themeColor="background1"/>
        </w:rPr>
        <w:t>6</w:t>
      </w:r>
      <w:r w:rsidRPr="00F041AD">
        <w:rPr>
          <w:color w:val="333333" w:themeColor="background1"/>
        </w:rPr>
        <w:fldChar w:fldCharType="end"/>
      </w:r>
      <w:r w:rsidRPr="00F041AD">
        <w:rPr>
          <w:color w:val="333333" w:themeColor="background1"/>
        </w:rPr>
        <w:t xml:space="preserve"> below). </w:t>
      </w:r>
    </w:p>
    <w:p w14:paraId="466FB573" w14:textId="77777777" w:rsidR="00B65A50" w:rsidRPr="00F041AD" w:rsidRDefault="00B65A50" w:rsidP="00615E96">
      <w:pPr>
        <w:pStyle w:val="5BodyText"/>
        <w:keepNext/>
        <w:keepLines/>
        <w:rPr>
          <w:color w:val="333333" w:themeColor="background1"/>
        </w:rPr>
      </w:pPr>
    </w:p>
    <w:p w14:paraId="3EB108F7" w14:textId="76BAF601" w:rsidR="00B65A50" w:rsidRPr="00F041AD" w:rsidRDefault="00B65A50" w:rsidP="00070F01">
      <w:pPr>
        <w:pStyle w:val="7Caption"/>
        <w:rPr>
          <w:color w:val="333333" w:themeColor="background1"/>
        </w:rPr>
      </w:pPr>
      <w:bookmarkStart w:id="77" w:name="_Ref322701379"/>
      <w:bookmarkStart w:id="78" w:name="_Toc322958515"/>
      <w:r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6</w:t>
      </w:r>
      <w:r w:rsidR="0010025D" w:rsidRPr="00F041AD">
        <w:rPr>
          <w:noProof/>
          <w:color w:val="333333" w:themeColor="background1"/>
        </w:rPr>
        <w:fldChar w:fldCharType="end"/>
      </w:r>
      <w:bookmarkEnd w:id="77"/>
      <w:r w:rsidRPr="00F041AD">
        <w:rPr>
          <w:color w:val="333333" w:themeColor="background1"/>
        </w:rPr>
        <w:t>: Minnesota source energy use by sector, 2013</w:t>
      </w:r>
      <w:bookmarkEnd w:id="78"/>
    </w:p>
    <w:p w14:paraId="0D18E8A8" w14:textId="10EC957F" w:rsidR="00B65A50" w:rsidRPr="00F041AD" w:rsidRDefault="008123C7" w:rsidP="00F870FA">
      <w:pPr>
        <w:pStyle w:val="5BodyText"/>
        <w:rPr>
          <w:color w:val="333333" w:themeColor="background1"/>
          <w:sz w:val="16"/>
        </w:rPr>
      </w:pPr>
      <w:r w:rsidRPr="00F041AD">
        <w:rPr>
          <w:noProof/>
          <w:color w:val="333333" w:themeColor="background1"/>
          <w:lang w:eastAsia="en-US"/>
        </w:rPr>
        <w:drawing>
          <wp:inline distT="0" distB="0" distL="0" distR="0" wp14:anchorId="395CC7DA" wp14:editId="3347C636">
            <wp:extent cx="4046855" cy="3098800"/>
            <wp:effectExtent l="0" t="0" r="17145" b="2540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B65A50" w:rsidRPr="00F041AD">
        <w:rPr>
          <w:color w:val="333333" w:themeColor="background1"/>
        </w:rPr>
        <w:br w:type="textWrapping" w:clear="all"/>
      </w:r>
      <w:r w:rsidR="00B65A50" w:rsidRPr="00F041AD">
        <w:rPr>
          <w:color w:val="333333" w:themeColor="background1"/>
          <w:sz w:val="16"/>
        </w:rPr>
        <w:t xml:space="preserve">Source: </w:t>
      </w:r>
      <w:r w:rsidR="006449E1" w:rsidRPr="00F041AD">
        <w:rPr>
          <w:rFonts w:asciiTheme="majorHAnsi" w:hAnsiTheme="majorHAnsi"/>
          <w:color w:val="333333" w:themeColor="background1"/>
          <w:sz w:val="16"/>
        </w:rPr>
        <w:t>U.S. Energy Information Administration. “Tables CT4-CT7, 1960-2013, Minnesota.”</w:t>
      </w:r>
    </w:p>
    <w:p w14:paraId="25DD02BA" w14:textId="77777777" w:rsidR="00B65A50" w:rsidRPr="00F041AD" w:rsidRDefault="00B65A50" w:rsidP="00F870FA">
      <w:pPr>
        <w:pStyle w:val="5BodyText"/>
        <w:rPr>
          <w:color w:val="333333" w:themeColor="background1"/>
        </w:rPr>
      </w:pPr>
    </w:p>
    <w:p w14:paraId="55BEEAA4" w14:textId="4AD12AA2" w:rsidR="00B65A50" w:rsidRPr="00F041AD" w:rsidRDefault="00B65A50" w:rsidP="009A1695">
      <w:pPr>
        <w:pStyle w:val="5BodyText"/>
        <w:rPr>
          <w:color w:val="333333" w:themeColor="background1"/>
        </w:rPr>
      </w:pPr>
      <w:r w:rsidRPr="00F041AD">
        <w:rPr>
          <w:color w:val="333333" w:themeColor="background1"/>
        </w:rPr>
        <w:t>Minnesota’s per capita energy consumptions ranks 18</w:t>
      </w:r>
      <w:r w:rsidRPr="00F041AD">
        <w:rPr>
          <w:color w:val="333333" w:themeColor="background1"/>
          <w:vertAlign w:val="superscript"/>
        </w:rPr>
        <w:t>th</w:t>
      </w:r>
      <w:r w:rsidRPr="00F041AD">
        <w:rPr>
          <w:color w:val="333333" w:themeColor="background1"/>
        </w:rPr>
        <w:t xml:space="preserve"> nationally,</w:t>
      </w:r>
      <w:r w:rsidRPr="00F041AD">
        <w:rPr>
          <w:rStyle w:val="EndnoteReference"/>
          <w:color w:val="333333" w:themeColor="background1"/>
        </w:rPr>
        <w:endnoteReference w:id="37"/>
      </w:r>
      <w:r w:rsidRPr="00F041AD">
        <w:rPr>
          <w:color w:val="333333" w:themeColor="background1"/>
        </w:rPr>
        <w:t xml:space="preserve"> despite being ranked third for the coldest winters in the U.S.</w:t>
      </w:r>
      <w:r w:rsidRPr="00F041AD">
        <w:rPr>
          <w:rStyle w:val="EndnoteReference"/>
          <w:color w:val="333333" w:themeColor="background1"/>
        </w:rPr>
        <w:endnoteReference w:id="38"/>
      </w:r>
      <w:r w:rsidRPr="00F041AD">
        <w:rPr>
          <w:color w:val="333333" w:themeColor="background1"/>
        </w:rPr>
        <w:t xml:space="preserve"> From 2007 to 2013, per capita energy use declined by 5 percent.</w:t>
      </w:r>
      <w:r w:rsidRPr="00F041AD">
        <w:rPr>
          <w:rStyle w:val="EndnoteReference"/>
          <w:color w:val="333333" w:themeColor="background1"/>
        </w:rPr>
        <w:endnoteReference w:id="39"/>
      </w:r>
      <w:r w:rsidRPr="00F041AD">
        <w:rPr>
          <w:color w:val="333333" w:themeColor="background1"/>
        </w:rPr>
        <w:t xml:space="preserve"> From 2007 to </w:t>
      </w:r>
      <w:r w:rsidRPr="00F041AD">
        <w:rPr>
          <w:color w:val="333333" w:themeColor="background1"/>
        </w:rPr>
        <w:lastRenderedPageBreak/>
        <w:t xml:space="preserve">2013, Minnesota’s per capita fossil fuel use declined by 14.7 percent and today remains lower than the national average (see </w:t>
      </w:r>
      <w:r w:rsidRPr="00F041AD">
        <w:rPr>
          <w:color w:val="333333" w:themeColor="background1"/>
        </w:rPr>
        <w:fldChar w:fldCharType="begin"/>
      </w:r>
      <w:r w:rsidRPr="00F041AD">
        <w:rPr>
          <w:color w:val="333333" w:themeColor="background1"/>
        </w:rPr>
        <w:instrText xml:space="preserve"> REF _Ref322702226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Figure </w:t>
      </w:r>
      <w:r w:rsidR="00171E58">
        <w:rPr>
          <w:noProof/>
          <w:color w:val="333333" w:themeColor="background1"/>
        </w:rPr>
        <w:t>7</w:t>
      </w:r>
      <w:r w:rsidRPr="00F041AD">
        <w:rPr>
          <w:color w:val="333333" w:themeColor="background1"/>
        </w:rPr>
        <w:fldChar w:fldCharType="end"/>
      </w:r>
      <w:r w:rsidRPr="00F041AD">
        <w:rPr>
          <w:color w:val="333333" w:themeColor="background1"/>
        </w:rPr>
        <w:t xml:space="preserve"> below). </w:t>
      </w:r>
    </w:p>
    <w:p w14:paraId="2ABE4ED9" w14:textId="77777777" w:rsidR="00B65A50" w:rsidRPr="00F041AD" w:rsidRDefault="00B65A50" w:rsidP="009A1695">
      <w:pPr>
        <w:pStyle w:val="5BodyText"/>
        <w:rPr>
          <w:color w:val="333333" w:themeColor="background1"/>
        </w:rPr>
      </w:pPr>
    </w:p>
    <w:p w14:paraId="2EB69E43" w14:textId="59B3FAFF" w:rsidR="00B65A50" w:rsidRPr="00F041AD" w:rsidRDefault="00B65A50" w:rsidP="00070F01">
      <w:pPr>
        <w:pStyle w:val="7Caption"/>
        <w:rPr>
          <w:color w:val="333333" w:themeColor="background1"/>
        </w:rPr>
      </w:pPr>
      <w:bookmarkStart w:id="79" w:name="_Ref322702226"/>
      <w:bookmarkStart w:id="80" w:name="_Toc322958516"/>
      <w:r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7</w:t>
      </w:r>
      <w:r w:rsidR="0010025D" w:rsidRPr="00F041AD">
        <w:rPr>
          <w:noProof/>
          <w:color w:val="333333" w:themeColor="background1"/>
        </w:rPr>
        <w:fldChar w:fldCharType="end"/>
      </w:r>
      <w:bookmarkEnd w:id="79"/>
      <w:r w:rsidRPr="00F041AD">
        <w:rPr>
          <w:color w:val="333333" w:themeColor="background1"/>
        </w:rPr>
        <w:t>: Minnesota fossil fuel use per capita, 2005 to 2013</w:t>
      </w:r>
      <w:bookmarkEnd w:id="80"/>
    </w:p>
    <w:p w14:paraId="2738256A" w14:textId="33964EFA" w:rsidR="00352BD1" w:rsidRPr="00F041AD" w:rsidRDefault="001015AA" w:rsidP="004805EE">
      <w:pPr>
        <w:pStyle w:val="5BodyText"/>
        <w:keepNext/>
        <w:keepLines/>
        <w:rPr>
          <w:color w:val="333333" w:themeColor="background1"/>
        </w:rPr>
      </w:pPr>
      <w:r w:rsidRPr="00F041AD">
        <w:rPr>
          <w:color w:val="333333" w:themeColor="background1"/>
        </w:rPr>
        <w:t xml:space="preserve"> </w:t>
      </w:r>
      <w:r w:rsidRPr="00F041AD">
        <w:rPr>
          <w:noProof/>
          <w:color w:val="333333" w:themeColor="background1"/>
          <w:lang w:eastAsia="en-US"/>
        </w:rPr>
        <w:drawing>
          <wp:inline distT="0" distB="0" distL="0" distR="0" wp14:anchorId="48666EF8" wp14:editId="649B4441">
            <wp:extent cx="5616575" cy="2854960"/>
            <wp:effectExtent l="0" t="0" r="22225" b="1524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22ABDC4" w14:textId="06874827" w:rsidR="00B65A50" w:rsidRPr="00F041AD" w:rsidRDefault="00B65A50" w:rsidP="001015AA">
      <w:pPr>
        <w:pStyle w:val="5BodyText"/>
        <w:rPr>
          <w:rFonts w:asciiTheme="majorHAnsi" w:hAnsiTheme="majorHAnsi"/>
          <w:color w:val="333333" w:themeColor="background1"/>
          <w:sz w:val="12"/>
        </w:rPr>
      </w:pPr>
      <w:r w:rsidRPr="00F041AD">
        <w:rPr>
          <w:color w:val="333333" w:themeColor="background1"/>
          <w:sz w:val="18"/>
        </w:rPr>
        <w:t xml:space="preserve">Source: </w:t>
      </w:r>
      <w:r w:rsidR="001015AA" w:rsidRPr="00F041AD">
        <w:rPr>
          <w:color w:val="333333" w:themeColor="background1"/>
          <w:sz w:val="16"/>
        </w:rPr>
        <w:t>U.S. Energy Information Administration,</w:t>
      </w:r>
      <w:r w:rsidR="001015AA" w:rsidRPr="00F041AD">
        <w:rPr>
          <w:rFonts w:ascii="Calibri" w:hAnsi="Calibri"/>
          <w:color w:val="333333" w:themeColor="background1"/>
        </w:rPr>
        <w:t xml:space="preserve"> </w:t>
      </w:r>
      <w:r w:rsidR="001015AA" w:rsidRPr="00F041AD">
        <w:rPr>
          <w:rFonts w:asciiTheme="majorHAnsi" w:hAnsiTheme="majorHAnsi"/>
          <w:color w:val="333333" w:themeColor="background1"/>
          <w:sz w:val="16"/>
        </w:rPr>
        <w:t>“Table CT1. Total End-Use Energy Consumption Estimates, 1960-2013, Minnesota.”</w:t>
      </w:r>
    </w:p>
    <w:p w14:paraId="6149DAFA" w14:textId="77777777" w:rsidR="00B65A50" w:rsidRPr="00F041AD" w:rsidRDefault="00B65A50" w:rsidP="004805EE">
      <w:pPr>
        <w:pStyle w:val="5BodyText"/>
        <w:keepNext/>
        <w:keepLines/>
        <w:rPr>
          <w:color w:val="333333" w:themeColor="background1"/>
        </w:rPr>
      </w:pPr>
    </w:p>
    <w:p w14:paraId="6BD08BEA" w14:textId="77777777" w:rsidR="001015AA" w:rsidRPr="00F041AD" w:rsidRDefault="001015AA" w:rsidP="004805EE">
      <w:pPr>
        <w:pStyle w:val="5BodyText"/>
        <w:keepNext/>
        <w:keepLines/>
        <w:rPr>
          <w:color w:val="333333" w:themeColor="background1"/>
        </w:rPr>
      </w:pPr>
    </w:p>
    <w:p w14:paraId="3A947E4E" w14:textId="77777777" w:rsidR="001015AA" w:rsidRPr="00F041AD" w:rsidRDefault="001015AA" w:rsidP="004805EE">
      <w:pPr>
        <w:pStyle w:val="5BodyText"/>
        <w:keepNext/>
        <w:keepLines/>
        <w:rPr>
          <w:color w:val="333333" w:themeColor="background1"/>
        </w:rPr>
      </w:pPr>
    </w:p>
    <w:p w14:paraId="69629F6E" w14:textId="26AD4567" w:rsidR="00B65A50" w:rsidRPr="00F041AD" w:rsidRDefault="001015AA" w:rsidP="007F3F44">
      <w:pPr>
        <w:pStyle w:val="6BodyHighlight"/>
        <w:rPr>
          <w:color w:val="333333" w:themeColor="background1"/>
        </w:rPr>
      </w:pPr>
      <w:bookmarkStart w:id="81" w:name="_Toc322961608"/>
      <w:r w:rsidRPr="00F041AD">
        <w:rPr>
          <w:noProof/>
          <w:color w:val="333333" w:themeColor="background1"/>
          <w:lang w:eastAsia="en-US"/>
        </w:rPr>
        <mc:AlternateContent>
          <mc:Choice Requires="wps">
            <w:drawing>
              <wp:anchor distT="0" distB="0" distL="114300" distR="114300" simplePos="0" relativeHeight="251692032" behindDoc="0" locked="0" layoutInCell="1" allowOverlap="1" wp14:anchorId="4F5C60D5" wp14:editId="16F50E61">
                <wp:simplePos x="0" y="0"/>
                <wp:positionH relativeFrom="column">
                  <wp:posOffset>4052570</wp:posOffset>
                </wp:positionH>
                <wp:positionV relativeFrom="paragraph">
                  <wp:posOffset>154305</wp:posOffset>
                </wp:positionV>
                <wp:extent cx="2286000" cy="3076575"/>
                <wp:effectExtent l="0" t="0" r="0" b="9525"/>
                <wp:wrapSquare wrapText="bothSides"/>
                <wp:docPr id="7" name="Text Box 7"/>
                <wp:cNvGraphicFramePr/>
                <a:graphic xmlns:a="http://schemas.openxmlformats.org/drawingml/2006/main">
                  <a:graphicData uri="http://schemas.microsoft.com/office/word/2010/wordprocessingShape">
                    <wps:wsp>
                      <wps:cNvSpPr txBox="1"/>
                      <wps:spPr>
                        <a:xfrm>
                          <a:off x="0" y="0"/>
                          <a:ext cx="2286000" cy="3076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B2636E" w14:textId="29DEAED2" w:rsidR="006506BB" w:rsidRPr="003A1415" w:rsidRDefault="006506BB" w:rsidP="00E074C2">
                            <w:pPr>
                              <w:pStyle w:val="4Quote"/>
                              <w:rPr>
                                <w:sz w:val="36"/>
                              </w:rPr>
                            </w:pPr>
                            <w:r w:rsidRPr="003A1415">
                              <w:rPr>
                                <w:sz w:val="36"/>
                              </w:rPr>
                              <w:t xml:space="preserve">If Minnesota continues on its current trajectory, the state risks falling short of its greenhouse gas reduction goals and </w:t>
                            </w:r>
                            <w:r w:rsidR="001C531E">
                              <w:rPr>
                                <w:sz w:val="36"/>
                              </w:rPr>
                              <w:t xml:space="preserve">overall </w:t>
                            </w:r>
                            <w:r w:rsidRPr="003A1415">
                              <w:rPr>
                                <w:sz w:val="36"/>
                              </w:rPr>
                              <w:t>renewable energy goals.</w:t>
                            </w:r>
                          </w:p>
                          <w:p w14:paraId="6FF62035" w14:textId="77777777" w:rsidR="006506BB" w:rsidRDefault="006506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29" type="#_x0000_t202" style="position:absolute;margin-left:319.1pt;margin-top:12.15pt;width:180pt;height:242.2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" filled="f" stroked="f">
                <v:textbox>
                  <w:txbxContent>
                    <w:p w14:paraId="0BB2636E" w14:textId="29DEAED2" w:rsidR="006506BB" w:rsidRPr="003A1415" w:rsidRDefault="006506BB" w:rsidP="00E074C2">
                      <w:pPr>
                        <w:pStyle w:val="4Quote"/>
                        <w:rPr>
                          <w:sz w:val="36"/>
                        </w:rPr>
                      </w:pPr>
                      <w:r w:rsidRPr="003A1415">
                        <w:rPr>
                          <w:sz w:val="36"/>
                        </w:rPr>
                        <w:t xml:space="preserve">If Minnesota continues on its current trajectory, the state risks falling short of its greenhouse gas reduction goals and </w:t>
                      </w:r>
                      <w:r w:rsidR="001C531E">
                        <w:rPr>
                          <w:sz w:val="36"/>
                        </w:rPr>
                        <w:t xml:space="preserve">overall </w:t>
                      </w:r>
                      <w:r w:rsidRPr="003A1415">
                        <w:rPr>
                          <w:sz w:val="36"/>
                        </w:rPr>
                        <w:t>renewable energy goals.</w:t>
                      </w:r>
                    </w:p>
                    <w:p w14:paraId="6FF62035" w14:textId="77777777" w:rsidR="006506BB" w:rsidRDefault="006506BB"/>
                  </w:txbxContent>
                </v:textbox>
                <w10:wrap type="square"/>
              </v:shape>
            </w:pict>
          </mc:Fallback>
        </mc:AlternateContent>
      </w:r>
      <w:r w:rsidR="00B65A50" w:rsidRPr="00F041AD">
        <w:rPr>
          <w:color w:val="333333" w:themeColor="background1"/>
        </w:rPr>
        <w:t>Greenhouse gas emissions</w:t>
      </w:r>
      <w:bookmarkEnd w:id="81"/>
    </w:p>
    <w:p w14:paraId="2C0564CB" w14:textId="4F6C3B80" w:rsidR="00B65A50" w:rsidRPr="00F041AD" w:rsidRDefault="00B65A50" w:rsidP="002003AC">
      <w:pPr>
        <w:pStyle w:val="5BodyText"/>
        <w:rPr>
          <w:color w:val="333333" w:themeColor="background1"/>
        </w:rPr>
      </w:pPr>
      <w:r w:rsidRPr="00F041AD">
        <w:rPr>
          <w:color w:val="333333" w:themeColor="background1"/>
        </w:rPr>
        <w:t xml:space="preserve">In 2012, the energy sector accounted for 87 percent of the state’s emissions, agriculture for 10 percent and waste for 1 percent (see </w:t>
      </w:r>
      <w:r w:rsidRPr="00F041AD">
        <w:rPr>
          <w:color w:val="333333" w:themeColor="background1"/>
        </w:rPr>
        <w:fldChar w:fldCharType="begin"/>
      </w:r>
      <w:r w:rsidRPr="00F041AD">
        <w:rPr>
          <w:color w:val="333333" w:themeColor="background1"/>
        </w:rPr>
        <w:instrText xml:space="preserve"> REF _Ref322704314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Figure </w:t>
      </w:r>
      <w:r w:rsidR="00171E58">
        <w:rPr>
          <w:noProof/>
          <w:color w:val="333333" w:themeColor="background1"/>
        </w:rPr>
        <w:t>8</w:t>
      </w:r>
      <w:r w:rsidRPr="00F041AD">
        <w:rPr>
          <w:color w:val="333333" w:themeColor="background1"/>
        </w:rPr>
        <w:fldChar w:fldCharType="end"/>
      </w:r>
      <w:r w:rsidRPr="00F041AD">
        <w:rPr>
          <w:color w:val="333333" w:themeColor="background1"/>
        </w:rPr>
        <w:t xml:space="preserve"> below).</w:t>
      </w:r>
      <w:r w:rsidRPr="00F041AD">
        <w:rPr>
          <w:color w:val="333333" w:themeColor="background1"/>
          <w:vertAlign w:val="superscript"/>
        </w:rPr>
        <w:endnoteReference w:id="40"/>
      </w:r>
      <w:r w:rsidRPr="00F041AD">
        <w:rPr>
          <w:color w:val="333333" w:themeColor="background1"/>
        </w:rPr>
        <w:t xml:space="preserve"> From 2005 to 2012, Minnesota’s greenhouse gas emissions declined by 7 percent. Notably, the electricity sector’s emissions declined by 17 percent over the same time period.</w:t>
      </w:r>
    </w:p>
    <w:p w14:paraId="6AF11EC3" w14:textId="4765C7C2" w:rsidR="00B65A50" w:rsidRPr="00F041AD" w:rsidRDefault="00B65A50" w:rsidP="00B072E4">
      <w:pPr>
        <w:pStyle w:val="5BodyText"/>
        <w:rPr>
          <w:color w:val="333333" w:themeColor="background1"/>
        </w:rPr>
      </w:pPr>
    </w:p>
    <w:p w14:paraId="711C3666" w14:textId="75886DC2" w:rsidR="00B65A50" w:rsidRPr="00F041AD" w:rsidRDefault="00B65A50" w:rsidP="00070F01">
      <w:pPr>
        <w:pStyle w:val="7Caption"/>
        <w:rPr>
          <w:color w:val="333333" w:themeColor="background1"/>
        </w:rPr>
      </w:pPr>
      <w:bookmarkStart w:id="82" w:name="_Ref322704314"/>
      <w:bookmarkStart w:id="83" w:name="_Toc322958517"/>
      <w:r w:rsidRPr="00F041AD">
        <w:rPr>
          <w:color w:val="333333" w:themeColor="background1"/>
        </w:rPr>
        <w:lastRenderedPageBreak/>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8</w:t>
      </w:r>
      <w:r w:rsidR="0010025D" w:rsidRPr="00F041AD">
        <w:rPr>
          <w:noProof/>
          <w:color w:val="333333" w:themeColor="background1"/>
        </w:rPr>
        <w:fldChar w:fldCharType="end"/>
      </w:r>
      <w:bookmarkEnd w:id="82"/>
      <w:r w:rsidRPr="00F041AD">
        <w:rPr>
          <w:color w:val="333333" w:themeColor="background1"/>
        </w:rPr>
        <w:t>: Minnesota greenhouse gas emission trends by sector, 2005 to 2012</w:t>
      </w:r>
      <w:bookmarkEnd w:id="83"/>
    </w:p>
    <w:p w14:paraId="0BA98C23" w14:textId="206B537A" w:rsidR="00B65A50" w:rsidRPr="00F041AD" w:rsidRDefault="00B65A50" w:rsidP="00031797">
      <w:pPr>
        <w:pStyle w:val="5BodyText"/>
        <w:keepNext/>
        <w:keepLines/>
        <w:rPr>
          <w:color w:val="333333" w:themeColor="background1"/>
        </w:rPr>
      </w:pPr>
      <w:r w:rsidRPr="00F041AD">
        <w:rPr>
          <w:noProof/>
          <w:color w:val="333333" w:themeColor="background1"/>
          <w:lang w:eastAsia="en-US"/>
        </w:rPr>
        <w:drawing>
          <wp:inline distT="0" distB="0" distL="0" distR="0" wp14:anchorId="506E4364" wp14:editId="311C2587">
            <wp:extent cx="5486400" cy="392239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stretch>
                      <a:fillRect/>
                    </a:stretch>
                  </pic:blipFill>
                  <pic:spPr>
                    <a:xfrm>
                      <a:off x="0" y="0"/>
                      <a:ext cx="5486400" cy="3922395"/>
                    </a:xfrm>
                    <a:prstGeom prst="rect">
                      <a:avLst/>
                    </a:prstGeom>
                  </pic:spPr>
                </pic:pic>
              </a:graphicData>
            </a:graphic>
          </wp:inline>
        </w:drawing>
      </w:r>
    </w:p>
    <w:p w14:paraId="3FF32B7B" w14:textId="6ED7EEF0" w:rsidR="00B65A50" w:rsidRPr="00F041AD" w:rsidRDefault="00B65A50" w:rsidP="00031797">
      <w:pPr>
        <w:pStyle w:val="5BodyText"/>
        <w:keepNext/>
        <w:keepLines/>
        <w:rPr>
          <w:color w:val="333333" w:themeColor="background1"/>
          <w:sz w:val="16"/>
        </w:rPr>
      </w:pPr>
      <w:r w:rsidRPr="00F041AD">
        <w:rPr>
          <w:color w:val="333333" w:themeColor="background1"/>
          <w:sz w:val="16"/>
        </w:rPr>
        <w:t>Source: Minnesota Pollution Control Agency</w:t>
      </w:r>
    </w:p>
    <w:p w14:paraId="10687140" w14:textId="77777777" w:rsidR="00B65A50" w:rsidRPr="00F041AD" w:rsidRDefault="00B65A50" w:rsidP="00031797">
      <w:pPr>
        <w:pStyle w:val="5BodyText"/>
        <w:keepNext/>
        <w:keepLines/>
        <w:rPr>
          <w:color w:val="333333" w:themeColor="background1"/>
        </w:rPr>
      </w:pPr>
    </w:p>
    <w:p w14:paraId="092156E7" w14:textId="0324EBDD" w:rsidR="00B65A50" w:rsidRPr="00F041AD" w:rsidRDefault="00B65A50" w:rsidP="00511BEC">
      <w:pPr>
        <w:pStyle w:val="5BodyText"/>
        <w:keepNext/>
        <w:keepLines/>
        <w:rPr>
          <w:color w:val="333333" w:themeColor="background1"/>
        </w:rPr>
      </w:pPr>
      <w:r w:rsidRPr="00F041AD">
        <w:rPr>
          <w:color w:val="333333" w:themeColor="background1"/>
        </w:rPr>
        <w:t xml:space="preserve">Based on the latest assessment from the Minnesota Pollution Control Agency (MPCA), Minnesota’s total emissions are anticipated to decrease slightly from 2012 to 2025 (see </w:t>
      </w:r>
      <w:r w:rsidRPr="00F041AD">
        <w:rPr>
          <w:color w:val="333333" w:themeColor="background1"/>
        </w:rPr>
        <w:fldChar w:fldCharType="begin"/>
      </w:r>
      <w:r w:rsidRPr="00F041AD">
        <w:rPr>
          <w:color w:val="333333" w:themeColor="background1"/>
        </w:rPr>
        <w:instrText xml:space="preserve"> REF _Ref322704758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Figure </w:t>
      </w:r>
      <w:r w:rsidR="00171E58">
        <w:rPr>
          <w:noProof/>
          <w:color w:val="333333" w:themeColor="background1"/>
        </w:rPr>
        <w:t>9</w:t>
      </w:r>
      <w:r w:rsidRPr="00F041AD">
        <w:rPr>
          <w:color w:val="333333" w:themeColor="background1"/>
        </w:rPr>
        <w:fldChar w:fldCharType="end"/>
      </w:r>
      <w:r w:rsidRPr="00F041AD">
        <w:rPr>
          <w:color w:val="333333" w:themeColor="background1"/>
        </w:rPr>
        <w:t xml:space="preserve"> below).  However, the state’s emissions are anticipated to exceed the state’s goals for 2015 and 2025 emissions levels.  </w:t>
      </w:r>
    </w:p>
    <w:p w14:paraId="11CD7121" w14:textId="70DABFEF" w:rsidR="00B65A50" w:rsidRPr="00F041AD" w:rsidRDefault="00B65A50" w:rsidP="00031797">
      <w:pPr>
        <w:pStyle w:val="5BodyText"/>
        <w:keepNext/>
        <w:keepLines/>
        <w:rPr>
          <w:color w:val="333333" w:themeColor="background1"/>
        </w:rPr>
      </w:pPr>
      <w:r w:rsidRPr="00F041AD">
        <w:rPr>
          <w:color w:val="333333" w:themeColor="background1"/>
        </w:rPr>
        <w:t xml:space="preserve"> </w:t>
      </w:r>
    </w:p>
    <w:p w14:paraId="13021CF4" w14:textId="3EAAF84E" w:rsidR="00B65A50" w:rsidRPr="00F041AD" w:rsidRDefault="00B65A50" w:rsidP="00070F01">
      <w:pPr>
        <w:pStyle w:val="7Caption"/>
        <w:rPr>
          <w:color w:val="333333" w:themeColor="background1"/>
        </w:rPr>
      </w:pPr>
      <w:bookmarkStart w:id="84" w:name="_Ref322704758"/>
      <w:bookmarkStart w:id="85" w:name="_Toc322958518"/>
      <w:r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9</w:t>
      </w:r>
      <w:r w:rsidR="0010025D" w:rsidRPr="00F041AD">
        <w:rPr>
          <w:noProof/>
          <w:color w:val="333333" w:themeColor="background1"/>
        </w:rPr>
        <w:fldChar w:fldCharType="end"/>
      </w:r>
      <w:bookmarkEnd w:id="84"/>
      <w:r w:rsidRPr="00F041AD">
        <w:rPr>
          <w:color w:val="333333" w:themeColor="background1"/>
        </w:rPr>
        <w:t>: Minnesota forecasted greenhouse gas emissions and state goals</w:t>
      </w:r>
      <w:bookmarkEnd w:id="85"/>
    </w:p>
    <w:p w14:paraId="4004A6AC" w14:textId="421838ED" w:rsidR="00B65A50" w:rsidRPr="00F041AD" w:rsidRDefault="00B65A50" w:rsidP="00892435">
      <w:pPr>
        <w:pStyle w:val="5BodyText"/>
        <w:keepNext/>
        <w:keepLines/>
        <w:rPr>
          <w:color w:val="333333" w:themeColor="background1"/>
        </w:rPr>
      </w:pPr>
      <w:r w:rsidRPr="00F041AD">
        <w:rPr>
          <w:noProof/>
          <w:color w:val="333333" w:themeColor="background1"/>
          <w:lang w:eastAsia="en-US"/>
        </w:rPr>
        <w:lastRenderedPageBreak/>
        <w:drawing>
          <wp:inline distT="0" distB="0" distL="0" distR="0" wp14:anchorId="364CAD3F" wp14:editId="4D6CBAC4">
            <wp:extent cx="4280535" cy="2867958"/>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4280535" cy="2867958"/>
                    </a:xfrm>
                    <a:prstGeom prst="rect">
                      <a:avLst/>
                    </a:prstGeom>
                  </pic:spPr>
                </pic:pic>
              </a:graphicData>
            </a:graphic>
          </wp:inline>
        </w:drawing>
      </w:r>
    </w:p>
    <w:p w14:paraId="2D5A76F1" w14:textId="77777777" w:rsidR="00B65A50" w:rsidRPr="00F041AD" w:rsidRDefault="00B65A50" w:rsidP="00892435">
      <w:pPr>
        <w:pStyle w:val="5BodyText"/>
        <w:keepNext/>
        <w:keepLines/>
        <w:rPr>
          <w:color w:val="333333" w:themeColor="background1"/>
          <w:sz w:val="18"/>
        </w:rPr>
      </w:pPr>
      <w:r w:rsidRPr="00F041AD">
        <w:rPr>
          <w:color w:val="333333" w:themeColor="background1"/>
          <w:sz w:val="18"/>
        </w:rPr>
        <w:t>Source: Minnesota Pollution Control Agency</w:t>
      </w:r>
    </w:p>
    <w:p w14:paraId="0291B46D" w14:textId="77777777" w:rsidR="00B65A50" w:rsidRPr="00F041AD" w:rsidRDefault="00B65A50" w:rsidP="00892435">
      <w:pPr>
        <w:pStyle w:val="5BodyText"/>
        <w:keepNext/>
        <w:keepLines/>
        <w:rPr>
          <w:color w:val="333333" w:themeColor="background1"/>
        </w:rPr>
      </w:pPr>
    </w:p>
    <w:p w14:paraId="02DC010A" w14:textId="648336AC" w:rsidR="00B65A50" w:rsidRPr="00F041AD" w:rsidRDefault="00B65A50" w:rsidP="007F3F44">
      <w:pPr>
        <w:pStyle w:val="6BodyHighlight"/>
        <w:rPr>
          <w:color w:val="333333" w:themeColor="background1"/>
        </w:rPr>
      </w:pPr>
      <w:bookmarkStart w:id="86" w:name="_Toc322961609"/>
      <w:r w:rsidRPr="00F041AD">
        <w:rPr>
          <w:color w:val="333333" w:themeColor="background1"/>
        </w:rPr>
        <w:t>What is shaping Minnesota’s energy future?</w:t>
      </w:r>
      <w:bookmarkEnd w:id="86"/>
    </w:p>
    <w:p w14:paraId="6B25E39A" w14:textId="55CFA40D" w:rsidR="00B65A50" w:rsidRPr="00F041AD" w:rsidRDefault="00B65A50" w:rsidP="008074F0">
      <w:pPr>
        <w:pStyle w:val="5BodyText"/>
        <w:rPr>
          <w:color w:val="333333" w:themeColor="background1"/>
        </w:rPr>
      </w:pPr>
      <w:r w:rsidRPr="00F041AD">
        <w:rPr>
          <w:color w:val="333333" w:themeColor="background1"/>
        </w:rPr>
        <w:t>A variety of national policies, state policies and goals, and market trends are shaping Minnesota’s energy future.</w:t>
      </w:r>
    </w:p>
    <w:p w14:paraId="28F7B0B8" w14:textId="77777777" w:rsidR="00B65A50" w:rsidRPr="00F041AD" w:rsidRDefault="00B65A50" w:rsidP="008074F0">
      <w:pPr>
        <w:pStyle w:val="5BodyText"/>
        <w:rPr>
          <w:color w:val="333333" w:themeColor="background1"/>
        </w:rPr>
      </w:pPr>
    </w:p>
    <w:p w14:paraId="41435903" w14:textId="52A77DC4" w:rsidR="00B65A50" w:rsidRPr="00F041AD" w:rsidRDefault="00B65A50" w:rsidP="007F3F44">
      <w:pPr>
        <w:pStyle w:val="6BodyHighlight"/>
        <w:rPr>
          <w:color w:val="333333" w:themeColor="background1"/>
        </w:rPr>
      </w:pPr>
      <w:bookmarkStart w:id="87" w:name="_Toc322961610"/>
      <w:r w:rsidRPr="00F041AD">
        <w:rPr>
          <w:color w:val="333333" w:themeColor="background1"/>
        </w:rPr>
        <w:t>National policy and market trends</w:t>
      </w:r>
      <w:bookmarkEnd w:id="87"/>
    </w:p>
    <w:p w14:paraId="43A08B6F" w14:textId="77777777" w:rsidR="00B65A50" w:rsidRPr="00F041AD" w:rsidRDefault="00B65A50" w:rsidP="003F31EB">
      <w:pPr>
        <w:pStyle w:val="5BodyText"/>
        <w:rPr>
          <w:color w:val="333333" w:themeColor="background1"/>
        </w:rPr>
      </w:pPr>
      <w:r w:rsidRPr="00F041AD">
        <w:rPr>
          <w:color w:val="333333" w:themeColor="background1"/>
        </w:rPr>
        <w:t>The national energy landscape is undeniably and rapidly changing. On both the supply and demand sides, cleaner energy sources are becoming more economical and demand is growing. At the same time, federal regulation is changing the economics of conventional energy production, prompting a shift toward cleaner resources.</w:t>
      </w:r>
    </w:p>
    <w:p w14:paraId="28A6D9E6" w14:textId="77777777" w:rsidR="00B65A50" w:rsidRPr="00F041AD" w:rsidRDefault="00B65A50" w:rsidP="003F31EB">
      <w:pPr>
        <w:pStyle w:val="5BodyText"/>
        <w:rPr>
          <w:color w:val="333333" w:themeColor="background1"/>
        </w:rPr>
      </w:pPr>
    </w:p>
    <w:p w14:paraId="3B15D585" w14:textId="54E64ACF" w:rsidR="00B65A50" w:rsidRPr="00F041AD" w:rsidRDefault="00B65A50" w:rsidP="003F31EB">
      <w:pPr>
        <w:pStyle w:val="5BodyText"/>
        <w:rPr>
          <w:color w:val="333333" w:themeColor="background1"/>
        </w:rPr>
      </w:pPr>
      <w:r w:rsidRPr="00F041AD">
        <w:rPr>
          <w:color w:val="333333" w:themeColor="background1"/>
        </w:rPr>
        <w:t xml:space="preserve">On the supply side, renewable energy resources are becoming increasingly cost-competitive with fossil fuels (see </w:t>
      </w:r>
      <w:r w:rsidRPr="00F041AD">
        <w:rPr>
          <w:color w:val="333333" w:themeColor="background1"/>
        </w:rPr>
        <w:fldChar w:fldCharType="begin"/>
      </w:r>
      <w:r w:rsidRPr="00F041AD">
        <w:rPr>
          <w:color w:val="333333" w:themeColor="background1"/>
        </w:rPr>
        <w:instrText xml:space="preserve"> REF _Ref322709996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Table </w:t>
      </w:r>
      <w:r w:rsidR="00171E58">
        <w:rPr>
          <w:noProof/>
          <w:color w:val="333333" w:themeColor="background1"/>
        </w:rPr>
        <w:t>1</w:t>
      </w:r>
      <w:r w:rsidRPr="00F041AD">
        <w:rPr>
          <w:color w:val="333333" w:themeColor="background1"/>
        </w:rPr>
        <w:fldChar w:fldCharType="end"/>
      </w:r>
      <w:r w:rsidRPr="00F041AD">
        <w:rPr>
          <w:color w:val="333333" w:themeColor="background1"/>
        </w:rPr>
        <w:t xml:space="preserve"> below</w:t>
      </w:r>
      <w:r w:rsidR="00FD7016" w:rsidRPr="00F041AD">
        <w:rPr>
          <w:rStyle w:val="FootnoteReference"/>
          <w:color w:val="333333" w:themeColor="background1"/>
        </w:rPr>
        <w:footnoteReference w:id="1"/>
      </w:r>
      <w:r w:rsidRPr="00F041AD">
        <w:rPr>
          <w:color w:val="333333" w:themeColor="background1"/>
        </w:rPr>
        <w:t>), even as low natural gas prices have broadened the use of that fuel.</w:t>
      </w:r>
      <w:r w:rsidRPr="00F041AD">
        <w:rPr>
          <w:rStyle w:val="EndnoteReference"/>
          <w:color w:val="333333" w:themeColor="background1"/>
        </w:rPr>
        <w:endnoteReference w:id="41"/>
      </w:r>
      <w:r w:rsidRPr="00F041AD">
        <w:rPr>
          <w:color w:val="333333" w:themeColor="background1"/>
        </w:rPr>
        <w:t xml:space="preserve"> </w:t>
      </w:r>
    </w:p>
    <w:p w14:paraId="4FAD2688" w14:textId="77777777" w:rsidR="00B65A50" w:rsidRPr="00F041AD" w:rsidRDefault="00B65A50" w:rsidP="003F31EB">
      <w:pPr>
        <w:pStyle w:val="5BodyText"/>
        <w:rPr>
          <w:color w:val="333333" w:themeColor="background1"/>
        </w:rPr>
      </w:pPr>
    </w:p>
    <w:p w14:paraId="66F36201" w14:textId="05996548" w:rsidR="00B65A50" w:rsidRPr="00F041AD" w:rsidRDefault="00B65A50" w:rsidP="00070F01">
      <w:pPr>
        <w:pStyle w:val="7Caption"/>
        <w:rPr>
          <w:b/>
          <w:color w:val="333333" w:themeColor="background1"/>
          <w:sz w:val="20"/>
        </w:rPr>
      </w:pPr>
      <w:bookmarkStart w:id="88" w:name="_Ref322709996"/>
      <w:r w:rsidRPr="00F041AD">
        <w:rPr>
          <w:color w:val="333333" w:themeColor="background1"/>
        </w:rPr>
        <w:t xml:space="preserve">Table </w:t>
      </w:r>
      <w:r w:rsidR="0010025D" w:rsidRPr="00F041AD">
        <w:rPr>
          <w:color w:val="333333" w:themeColor="background1"/>
        </w:rPr>
        <w:fldChar w:fldCharType="begin"/>
      </w:r>
      <w:r w:rsidR="0010025D" w:rsidRPr="00F041AD">
        <w:rPr>
          <w:color w:val="333333" w:themeColor="background1"/>
        </w:rPr>
        <w:instrText xml:space="preserve"> SEQ Table \* ARABIC </w:instrText>
      </w:r>
      <w:r w:rsidR="0010025D" w:rsidRPr="00F041AD">
        <w:rPr>
          <w:color w:val="333333" w:themeColor="background1"/>
        </w:rPr>
        <w:fldChar w:fldCharType="separate"/>
      </w:r>
      <w:r w:rsidR="00171E58">
        <w:rPr>
          <w:noProof/>
          <w:color w:val="333333" w:themeColor="background1"/>
        </w:rPr>
        <w:t>1</w:t>
      </w:r>
      <w:r w:rsidR="0010025D" w:rsidRPr="00F041AD">
        <w:rPr>
          <w:noProof/>
          <w:color w:val="333333" w:themeColor="background1"/>
        </w:rPr>
        <w:fldChar w:fldCharType="end"/>
      </w:r>
      <w:bookmarkEnd w:id="88"/>
      <w:r w:rsidRPr="00F041AD">
        <w:rPr>
          <w:color w:val="333333" w:themeColor="background1"/>
        </w:rPr>
        <w:t>: Unsubsidized levelized cost of energy (LCOE) comparison</w:t>
      </w:r>
    </w:p>
    <w:tbl>
      <w:tblPr>
        <w:tblStyle w:val="TableGrid"/>
        <w:tblW w:w="0" w:type="auto"/>
        <w:tblLook w:val="04A0" w:firstRow="1" w:lastRow="0" w:firstColumn="1" w:lastColumn="0" w:noHBand="0" w:noVBand="1"/>
      </w:tblPr>
      <w:tblGrid>
        <w:gridCol w:w="5148"/>
        <w:gridCol w:w="5148"/>
      </w:tblGrid>
      <w:tr w:rsidR="00B65A50" w:rsidRPr="00F041AD" w14:paraId="443468D6" w14:textId="77777777" w:rsidTr="009A4334">
        <w:tc>
          <w:tcPr>
            <w:tcW w:w="5148" w:type="dxa"/>
          </w:tcPr>
          <w:p w14:paraId="20F56144" w14:textId="452F49C3" w:rsidR="00B65A50" w:rsidRPr="00F041AD" w:rsidRDefault="00B65A50" w:rsidP="008D404C">
            <w:pPr>
              <w:pStyle w:val="5BodyText"/>
              <w:rPr>
                <w:b/>
                <w:color w:val="333333" w:themeColor="background1"/>
                <w:sz w:val="18"/>
              </w:rPr>
            </w:pPr>
            <w:r w:rsidRPr="00F041AD">
              <w:rPr>
                <w:b/>
                <w:color w:val="333333" w:themeColor="background1"/>
                <w:sz w:val="18"/>
              </w:rPr>
              <w:t>Energy Source</w:t>
            </w:r>
          </w:p>
        </w:tc>
        <w:tc>
          <w:tcPr>
            <w:tcW w:w="5148" w:type="dxa"/>
          </w:tcPr>
          <w:p w14:paraId="00A139D6" w14:textId="422D859F" w:rsidR="00B65A50" w:rsidRPr="00F041AD" w:rsidRDefault="00B65A50" w:rsidP="008D404C">
            <w:pPr>
              <w:pStyle w:val="5BodyText"/>
              <w:rPr>
                <w:b/>
                <w:color w:val="333333" w:themeColor="background1"/>
                <w:sz w:val="18"/>
              </w:rPr>
            </w:pPr>
            <w:r w:rsidRPr="00F041AD">
              <w:rPr>
                <w:b/>
                <w:color w:val="333333" w:themeColor="background1"/>
                <w:sz w:val="18"/>
              </w:rPr>
              <w:t>LCOE ($/MWh)</w:t>
            </w:r>
          </w:p>
        </w:tc>
      </w:tr>
      <w:tr w:rsidR="00B65A50" w:rsidRPr="00F041AD" w14:paraId="0B667BDE" w14:textId="77777777" w:rsidTr="009A4334">
        <w:tc>
          <w:tcPr>
            <w:tcW w:w="5148" w:type="dxa"/>
          </w:tcPr>
          <w:p w14:paraId="29A6A606" w14:textId="676BFF0C" w:rsidR="00B65A50" w:rsidRPr="00F041AD" w:rsidRDefault="00B65A50" w:rsidP="008D404C">
            <w:pPr>
              <w:pStyle w:val="5BodyText"/>
              <w:rPr>
                <w:color w:val="333333" w:themeColor="background1"/>
                <w:sz w:val="18"/>
              </w:rPr>
            </w:pPr>
            <w:r w:rsidRPr="00F041AD">
              <w:rPr>
                <w:color w:val="333333" w:themeColor="background1"/>
                <w:sz w:val="18"/>
              </w:rPr>
              <w:t>Wind</w:t>
            </w:r>
          </w:p>
        </w:tc>
        <w:tc>
          <w:tcPr>
            <w:tcW w:w="5148" w:type="dxa"/>
          </w:tcPr>
          <w:p w14:paraId="793BEFAB" w14:textId="35246AD8" w:rsidR="00B65A50" w:rsidRPr="00F041AD" w:rsidRDefault="00B65A50" w:rsidP="008D404C">
            <w:pPr>
              <w:pStyle w:val="5BodyText"/>
              <w:rPr>
                <w:color w:val="333333" w:themeColor="background1"/>
                <w:sz w:val="18"/>
              </w:rPr>
            </w:pPr>
            <w:r w:rsidRPr="00F041AD">
              <w:rPr>
                <w:color w:val="333333" w:themeColor="background1"/>
                <w:sz w:val="18"/>
              </w:rPr>
              <w:t>$32-77</w:t>
            </w:r>
          </w:p>
        </w:tc>
      </w:tr>
      <w:tr w:rsidR="00B65A50" w:rsidRPr="00F041AD" w14:paraId="70F17539" w14:textId="77777777" w:rsidTr="009A4334">
        <w:tc>
          <w:tcPr>
            <w:tcW w:w="5148" w:type="dxa"/>
          </w:tcPr>
          <w:p w14:paraId="75AABA27" w14:textId="5123A122" w:rsidR="00B65A50" w:rsidRPr="00F041AD" w:rsidRDefault="00B65A50" w:rsidP="008D404C">
            <w:pPr>
              <w:pStyle w:val="5BodyText"/>
              <w:rPr>
                <w:color w:val="333333" w:themeColor="background1"/>
                <w:sz w:val="18"/>
              </w:rPr>
            </w:pPr>
            <w:r w:rsidRPr="00F041AD">
              <w:rPr>
                <w:color w:val="333333" w:themeColor="background1"/>
                <w:sz w:val="18"/>
              </w:rPr>
              <w:t>Solar PV—Utility-scale</w:t>
            </w:r>
          </w:p>
        </w:tc>
        <w:tc>
          <w:tcPr>
            <w:tcW w:w="5148" w:type="dxa"/>
          </w:tcPr>
          <w:p w14:paraId="31B46773" w14:textId="5EE965D3" w:rsidR="00B65A50" w:rsidRPr="00F041AD" w:rsidRDefault="00B65A50" w:rsidP="008D404C">
            <w:pPr>
              <w:pStyle w:val="5BodyText"/>
              <w:rPr>
                <w:color w:val="333333" w:themeColor="background1"/>
                <w:sz w:val="18"/>
              </w:rPr>
            </w:pPr>
            <w:r w:rsidRPr="00F041AD">
              <w:rPr>
                <w:color w:val="333333" w:themeColor="background1"/>
                <w:sz w:val="18"/>
              </w:rPr>
              <w:t>$50-70</w:t>
            </w:r>
          </w:p>
        </w:tc>
      </w:tr>
      <w:tr w:rsidR="00B65A50" w:rsidRPr="00F041AD" w14:paraId="2C504FAF" w14:textId="77777777" w:rsidTr="009A4334">
        <w:tc>
          <w:tcPr>
            <w:tcW w:w="5148" w:type="dxa"/>
          </w:tcPr>
          <w:p w14:paraId="7A2B12B9" w14:textId="3AF42CA4" w:rsidR="00B65A50" w:rsidRPr="00F041AD" w:rsidRDefault="00B65A50" w:rsidP="008D404C">
            <w:pPr>
              <w:pStyle w:val="5BodyText"/>
              <w:rPr>
                <w:color w:val="333333" w:themeColor="background1"/>
                <w:sz w:val="18"/>
              </w:rPr>
            </w:pPr>
            <w:r w:rsidRPr="00F041AD">
              <w:rPr>
                <w:color w:val="333333" w:themeColor="background1"/>
                <w:sz w:val="18"/>
              </w:rPr>
              <w:t>Gas Combined Cycle</w:t>
            </w:r>
          </w:p>
        </w:tc>
        <w:tc>
          <w:tcPr>
            <w:tcW w:w="5148" w:type="dxa"/>
          </w:tcPr>
          <w:p w14:paraId="617A4FB2" w14:textId="44615303" w:rsidR="00B65A50" w:rsidRPr="00F041AD" w:rsidRDefault="00B65A50" w:rsidP="008D404C">
            <w:pPr>
              <w:pStyle w:val="5BodyText"/>
              <w:rPr>
                <w:color w:val="333333" w:themeColor="background1"/>
                <w:sz w:val="18"/>
              </w:rPr>
            </w:pPr>
            <w:r w:rsidRPr="00F041AD">
              <w:rPr>
                <w:color w:val="333333" w:themeColor="background1"/>
                <w:sz w:val="18"/>
              </w:rPr>
              <w:t>$52-78</w:t>
            </w:r>
          </w:p>
        </w:tc>
      </w:tr>
      <w:tr w:rsidR="00B65A50" w:rsidRPr="00F041AD" w14:paraId="223ADF24" w14:textId="77777777" w:rsidTr="009A4334">
        <w:tc>
          <w:tcPr>
            <w:tcW w:w="5148" w:type="dxa"/>
          </w:tcPr>
          <w:p w14:paraId="200DB542" w14:textId="64BA8636" w:rsidR="00B65A50" w:rsidRPr="00F041AD" w:rsidRDefault="00B65A50" w:rsidP="008D404C">
            <w:pPr>
              <w:pStyle w:val="5BodyText"/>
              <w:rPr>
                <w:color w:val="333333" w:themeColor="background1"/>
                <w:sz w:val="18"/>
              </w:rPr>
            </w:pPr>
            <w:r w:rsidRPr="00F041AD">
              <w:rPr>
                <w:color w:val="333333" w:themeColor="background1"/>
                <w:sz w:val="18"/>
              </w:rPr>
              <w:t>Coal</w:t>
            </w:r>
          </w:p>
        </w:tc>
        <w:tc>
          <w:tcPr>
            <w:tcW w:w="5148" w:type="dxa"/>
          </w:tcPr>
          <w:p w14:paraId="48EF5FCC" w14:textId="62BBA393" w:rsidR="00B65A50" w:rsidRPr="00F041AD" w:rsidRDefault="00B65A50" w:rsidP="008D404C">
            <w:pPr>
              <w:pStyle w:val="5BodyText"/>
              <w:rPr>
                <w:color w:val="333333" w:themeColor="background1"/>
                <w:sz w:val="18"/>
              </w:rPr>
            </w:pPr>
            <w:r w:rsidRPr="00F041AD">
              <w:rPr>
                <w:color w:val="333333" w:themeColor="background1"/>
                <w:sz w:val="18"/>
              </w:rPr>
              <w:t>$65-150</w:t>
            </w:r>
          </w:p>
        </w:tc>
      </w:tr>
      <w:tr w:rsidR="00B65A50" w:rsidRPr="00F041AD" w14:paraId="2A64A390" w14:textId="77777777" w:rsidTr="009A4334">
        <w:tc>
          <w:tcPr>
            <w:tcW w:w="5148" w:type="dxa"/>
          </w:tcPr>
          <w:p w14:paraId="478F2D3D" w14:textId="46F8B2E8" w:rsidR="00B65A50" w:rsidRPr="00F041AD" w:rsidRDefault="00B65A50" w:rsidP="008D404C">
            <w:pPr>
              <w:pStyle w:val="5BodyText"/>
              <w:rPr>
                <w:color w:val="333333" w:themeColor="background1"/>
                <w:sz w:val="18"/>
              </w:rPr>
            </w:pPr>
            <w:r w:rsidRPr="00F041AD">
              <w:rPr>
                <w:color w:val="333333" w:themeColor="background1"/>
                <w:sz w:val="18"/>
              </w:rPr>
              <w:lastRenderedPageBreak/>
              <w:t>Solar PV—Community-scale</w:t>
            </w:r>
          </w:p>
        </w:tc>
        <w:tc>
          <w:tcPr>
            <w:tcW w:w="5148" w:type="dxa"/>
          </w:tcPr>
          <w:p w14:paraId="5AC749BC" w14:textId="5249E0B9" w:rsidR="00B65A50" w:rsidRPr="00F041AD" w:rsidRDefault="00B65A50" w:rsidP="008D404C">
            <w:pPr>
              <w:pStyle w:val="5BodyText"/>
              <w:rPr>
                <w:color w:val="333333" w:themeColor="background1"/>
                <w:sz w:val="18"/>
              </w:rPr>
            </w:pPr>
            <w:r w:rsidRPr="00F041AD">
              <w:rPr>
                <w:color w:val="333333" w:themeColor="background1"/>
                <w:sz w:val="18"/>
              </w:rPr>
              <w:t>$78-136</w:t>
            </w:r>
          </w:p>
        </w:tc>
      </w:tr>
      <w:tr w:rsidR="00B65A50" w:rsidRPr="00F041AD" w14:paraId="3BDE6D76" w14:textId="77777777" w:rsidTr="009A4334">
        <w:tc>
          <w:tcPr>
            <w:tcW w:w="5148" w:type="dxa"/>
          </w:tcPr>
          <w:p w14:paraId="71E3A539" w14:textId="773EFC09" w:rsidR="00B65A50" w:rsidRPr="00F041AD" w:rsidRDefault="00B65A50" w:rsidP="008D404C">
            <w:pPr>
              <w:pStyle w:val="5BodyText"/>
              <w:rPr>
                <w:color w:val="333333" w:themeColor="background1"/>
                <w:sz w:val="18"/>
              </w:rPr>
            </w:pPr>
            <w:r w:rsidRPr="00F041AD">
              <w:rPr>
                <w:color w:val="333333" w:themeColor="background1"/>
                <w:sz w:val="18"/>
              </w:rPr>
              <w:t>Biomass Direct</w:t>
            </w:r>
          </w:p>
        </w:tc>
        <w:tc>
          <w:tcPr>
            <w:tcW w:w="5148" w:type="dxa"/>
          </w:tcPr>
          <w:p w14:paraId="45467AB6" w14:textId="4657D583" w:rsidR="00B65A50" w:rsidRPr="00F041AD" w:rsidRDefault="00B65A50" w:rsidP="008D404C">
            <w:pPr>
              <w:pStyle w:val="5BodyText"/>
              <w:rPr>
                <w:color w:val="333333" w:themeColor="background1"/>
                <w:sz w:val="18"/>
              </w:rPr>
            </w:pPr>
            <w:r w:rsidRPr="00F041AD">
              <w:rPr>
                <w:color w:val="333333" w:themeColor="background1"/>
                <w:sz w:val="18"/>
              </w:rPr>
              <w:t>$82-110</w:t>
            </w:r>
          </w:p>
        </w:tc>
      </w:tr>
      <w:tr w:rsidR="00B65A50" w:rsidRPr="00F041AD" w14:paraId="6D991138" w14:textId="77777777" w:rsidTr="009A4334">
        <w:tc>
          <w:tcPr>
            <w:tcW w:w="5148" w:type="dxa"/>
          </w:tcPr>
          <w:p w14:paraId="5F1A1D6F" w14:textId="5A23AD04" w:rsidR="00B65A50" w:rsidRPr="00F041AD" w:rsidRDefault="00B65A50" w:rsidP="008D404C">
            <w:pPr>
              <w:pStyle w:val="5BodyText"/>
              <w:rPr>
                <w:color w:val="333333" w:themeColor="background1"/>
                <w:sz w:val="18"/>
              </w:rPr>
            </w:pPr>
            <w:r w:rsidRPr="00F041AD">
              <w:rPr>
                <w:color w:val="333333" w:themeColor="background1"/>
                <w:sz w:val="18"/>
              </w:rPr>
              <w:t>Nuclear</w:t>
            </w:r>
          </w:p>
        </w:tc>
        <w:tc>
          <w:tcPr>
            <w:tcW w:w="5148" w:type="dxa"/>
          </w:tcPr>
          <w:p w14:paraId="07E815CD" w14:textId="25B15A02" w:rsidR="00B65A50" w:rsidRPr="00F041AD" w:rsidRDefault="00B65A50" w:rsidP="008D404C">
            <w:pPr>
              <w:pStyle w:val="5BodyText"/>
              <w:rPr>
                <w:color w:val="333333" w:themeColor="background1"/>
                <w:sz w:val="18"/>
              </w:rPr>
            </w:pPr>
            <w:r w:rsidRPr="00F041AD">
              <w:rPr>
                <w:color w:val="333333" w:themeColor="background1"/>
                <w:sz w:val="18"/>
              </w:rPr>
              <w:t>$97-136</w:t>
            </w:r>
          </w:p>
        </w:tc>
      </w:tr>
      <w:tr w:rsidR="00B65A50" w:rsidRPr="00F041AD" w14:paraId="5E94F705" w14:textId="77777777" w:rsidTr="009A4334">
        <w:tc>
          <w:tcPr>
            <w:tcW w:w="5148" w:type="dxa"/>
          </w:tcPr>
          <w:p w14:paraId="0AAA45B2" w14:textId="1FD6B341" w:rsidR="00B65A50" w:rsidRPr="00F041AD" w:rsidRDefault="00B65A50" w:rsidP="008D404C">
            <w:pPr>
              <w:pStyle w:val="5BodyText"/>
              <w:rPr>
                <w:color w:val="333333" w:themeColor="background1"/>
                <w:sz w:val="18"/>
              </w:rPr>
            </w:pPr>
            <w:r w:rsidRPr="00F041AD">
              <w:rPr>
                <w:color w:val="333333" w:themeColor="background1"/>
                <w:sz w:val="18"/>
              </w:rPr>
              <w:t>Gas Peaking</w:t>
            </w:r>
          </w:p>
        </w:tc>
        <w:tc>
          <w:tcPr>
            <w:tcW w:w="5148" w:type="dxa"/>
          </w:tcPr>
          <w:p w14:paraId="414065FA" w14:textId="0AA784C1" w:rsidR="00B65A50" w:rsidRPr="00F041AD" w:rsidRDefault="00B65A50" w:rsidP="008D404C">
            <w:pPr>
              <w:pStyle w:val="5BodyText"/>
              <w:rPr>
                <w:color w:val="333333" w:themeColor="background1"/>
                <w:sz w:val="18"/>
              </w:rPr>
            </w:pPr>
            <w:r w:rsidRPr="00F041AD">
              <w:rPr>
                <w:color w:val="333333" w:themeColor="background1"/>
                <w:sz w:val="18"/>
              </w:rPr>
              <w:t>$165-218</w:t>
            </w:r>
          </w:p>
        </w:tc>
      </w:tr>
    </w:tbl>
    <w:p w14:paraId="349CCBE7" w14:textId="3B9F98C5" w:rsidR="00B65A50" w:rsidRPr="00F041AD" w:rsidRDefault="00B65A50" w:rsidP="003F31EB">
      <w:pPr>
        <w:pStyle w:val="5BodyText"/>
        <w:rPr>
          <w:color w:val="333333" w:themeColor="background1"/>
          <w:sz w:val="18"/>
        </w:rPr>
      </w:pPr>
      <w:r w:rsidRPr="00F041AD">
        <w:rPr>
          <w:color w:val="333333" w:themeColor="background1"/>
          <w:sz w:val="18"/>
        </w:rPr>
        <w:t>Source: Lazard, 2015</w:t>
      </w:r>
      <w:r w:rsidRPr="00F041AD">
        <w:rPr>
          <w:color w:val="333333" w:themeColor="background1"/>
          <w:szCs w:val="20"/>
          <w:vertAlign w:val="superscript"/>
        </w:rPr>
        <w:endnoteReference w:id="42"/>
      </w:r>
    </w:p>
    <w:p w14:paraId="1ADEB1C1" w14:textId="77777777" w:rsidR="00FD7016" w:rsidRPr="00F041AD" w:rsidRDefault="00FD7016" w:rsidP="003F31EB">
      <w:pPr>
        <w:pStyle w:val="5BodyText"/>
        <w:rPr>
          <w:color w:val="333333" w:themeColor="background1"/>
          <w:sz w:val="18"/>
        </w:rPr>
      </w:pPr>
    </w:p>
    <w:p w14:paraId="40AC19BB" w14:textId="73E5B6BD" w:rsidR="00B65A50" w:rsidRPr="00F041AD" w:rsidRDefault="00B65A50" w:rsidP="003F31EB">
      <w:pPr>
        <w:pStyle w:val="5BodyText"/>
        <w:rPr>
          <w:color w:val="333333" w:themeColor="background1"/>
        </w:rPr>
      </w:pPr>
      <w:r w:rsidRPr="00F041AD">
        <w:rPr>
          <w:color w:val="333333" w:themeColor="background1"/>
        </w:rPr>
        <w:t xml:space="preserve">Federal legislation and regulations are further shaping the market for renewable energy. In December of 2015, Congress voted to extend the 30 percent investment tax credit (ITC) for solar PV and </w:t>
      </w:r>
      <w:r w:rsidR="00C32BE8" w:rsidRPr="00920B2F">
        <w:t>the Production Tax Credit (PTC) for</w:t>
      </w:r>
      <w:r w:rsidR="00C32BE8" w:rsidRPr="00F041AD">
        <w:rPr>
          <w:color w:val="333333" w:themeColor="background1"/>
        </w:rPr>
        <w:t xml:space="preserve"> </w:t>
      </w:r>
      <w:r w:rsidRPr="00F041AD">
        <w:rPr>
          <w:color w:val="333333" w:themeColor="background1"/>
        </w:rPr>
        <w:t>wind energy. The bill also extends a tax credit for biodiesel and biodiesel mixtures and the tax credit for small agri-business producers, making investments in biofuels, wind, and solar more favorable.</w:t>
      </w:r>
      <w:r w:rsidRPr="00F041AD">
        <w:rPr>
          <w:color w:val="333333" w:themeColor="background1"/>
          <w:vertAlign w:val="superscript"/>
        </w:rPr>
        <w:endnoteReference w:id="43"/>
      </w:r>
      <w:r w:rsidRPr="00F041AD">
        <w:rPr>
          <w:color w:val="333333" w:themeColor="background1"/>
        </w:rPr>
        <w:t xml:space="preserve">  </w:t>
      </w:r>
    </w:p>
    <w:p w14:paraId="2563EB1C" w14:textId="77777777" w:rsidR="00B65A50" w:rsidRPr="00F041AD" w:rsidRDefault="00B65A50" w:rsidP="003F31EB">
      <w:pPr>
        <w:pStyle w:val="5BodyText"/>
        <w:rPr>
          <w:color w:val="333333" w:themeColor="background1"/>
        </w:rPr>
      </w:pPr>
    </w:p>
    <w:p w14:paraId="0370EBC8" w14:textId="3E928A6E" w:rsidR="00B65A50" w:rsidRPr="00F041AD" w:rsidRDefault="00FD7016" w:rsidP="00F82D2C">
      <w:pPr>
        <w:pStyle w:val="5BodyText"/>
        <w:rPr>
          <w:color w:val="333333" w:themeColor="background1"/>
        </w:rPr>
      </w:pPr>
      <w:r w:rsidRPr="00F041AD">
        <w:rPr>
          <w:noProof/>
          <w:color w:val="333333" w:themeColor="background1"/>
          <w:lang w:eastAsia="en-US"/>
        </w:rPr>
        <mc:AlternateContent>
          <mc:Choice Requires="wps">
            <w:drawing>
              <wp:anchor distT="0" distB="0" distL="114300" distR="114300" simplePos="0" relativeHeight="251706368" behindDoc="0" locked="0" layoutInCell="1" allowOverlap="1" wp14:anchorId="0725EA6D" wp14:editId="3D8F1F2B">
                <wp:simplePos x="0" y="0"/>
                <wp:positionH relativeFrom="column">
                  <wp:posOffset>4164330</wp:posOffset>
                </wp:positionH>
                <wp:positionV relativeFrom="paragraph">
                  <wp:posOffset>413385</wp:posOffset>
                </wp:positionV>
                <wp:extent cx="2057400" cy="2870200"/>
                <wp:effectExtent l="0" t="0" r="0" b="6350"/>
                <wp:wrapSquare wrapText="bothSides"/>
                <wp:docPr id="8" name="Text Box 8"/>
                <wp:cNvGraphicFramePr/>
                <a:graphic xmlns:a="http://schemas.openxmlformats.org/drawingml/2006/main">
                  <a:graphicData uri="http://schemas.microsoft.com/office/word/2010/wordprocessingShape">
                    <wps:wsp>
                      <wps:cNvSpPr txBox="1"/>
                      <wps:spPr>
                        <a:xfrm>
                          <a:off x="0" y="0"/>
                          <a:ext cx="2057400" cy="287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14B0A6" w14:textId="77777777" w:rsidR="006506BB" w:rsidRPr="008816E2" w:rsidRDefault="006506BB" w:rsidP="00FD7016">
                            <w:pPr>
                              <w:pStyle w:val="4Quote"/>
                            </w:pPr>
                            <w:r w:rsidRPr="008816E2">
                              <w:t>For decades, Minnesota has been a leader in energy efficiency and renewable energy policy, from its Conservation Improvement Program, to its Renewable Energy Standard, to its community solar gardens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0" type="#_x0000_t202" style="position:absolute;margin-left:327.9pt;margin-top:32.55pt;width:162pt;height:226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" filled="f" stroked="f">
                <v:textbox>
                  <w:txbxContent>
                    <w:p w14:paraId="7314B0A6" w14:textId="77777777" w:rsidR="006506BB" w:rsidRPr="008816E2" w:rsidRDefault="006506BB" w:rsidP="00FD7016">
                      <w:pPr>
                        <w:pStyle w:val="4Quote"/>
                      </w:pPr>
                      <w:r w:rsidRPr="008816E2">
                        <w:t>For decades, Minnesota has been a leader in energy efficiency and renewable energy policy, from its Conservation Improvement Program, to its Renewable Energy Standard, to its community solar gardens</w:t>
                      </w:r>
                      <w:r>
                        <w:t>.</w:t>
                      </w:r>
                    </w:p>
                  </w:txbxContent>
                </v:textbox>
                <w10:wrap type="square"/>
              </v:shape>
            </w:pict>
          </mc:Fallback>
        </mc:AlternateContent>
      </w:r>
      <w:r w:rsidR="00B65A50" w:rsidRPr="00F041AD">
        <w:rPr>
          <w:color w:val="333333" w:themeColor="background1"/>
        </w:rPr>
        <w:t>Concurrently, a number of federal regulations, most notably the Mercury and Toxic Air Standards (MATS),</w:t>
      </w:r>
      <w:r w:rsidR="00B65A50" w:rsidRPr="00F041AD">
        <w:rPr>
          <w:color w:val="333333" w:themeColor="background1"/>
          <w:vertAlign w:val="superscript"/>
        </w:rPr>
        <w:endnoteReference w:id="44"/>
      </w:r>
      <w:r w:rsidR="00B65A50" w:rsidRPr="00F041AD">
        <w:rPr>
          <w:color w:val="333333" w:themeColor="background1"/>
        </w:rPr>
        <w:t xml:space="preserve"> are making the operation of old coal-fired power plants less economical and accelerating plant retirement.</w:t>
      </w:r>
      <w:r w:rsidR="00B65A50" w:rsidRPr="00F041AD">
        <w:rPr>
          <w:color w:val="333333" w:themeColor="background1"/>
          <w:vertAlign w:val="superscript"/>
        </w:rPr>
        <w:endnoteReference w:id="45"/>
      </w:r>
      <w:r w:rsidR="00B65A50" w:rsidRPr="00F041AD">
        <w:rPr>
          <w:color w:val="333333" w:themeColor="background1"/>
        </w:rPr>
        <w:t xml:space="preserve"> In addition, the EPA’s Clean Power Plan, which aims to reduce carbon emissions from the power sector 32 percent below 2005 levels by 2030, is expected to have a significant impact on coal generation. Though at the time of press, the Supreme Court had issued a stay on implementation of the Clean Power Plan, many states, including Minnesota, are on track to comply with the regulation.</w:t>
      </w:r>
      <w:r w:rsidR="00B65A50" w:rsidRPr="00F041AD">
        <w:rPr>
          <w:rStyle w:val="EndnoteReference"/>
          <w:color w:val="333333" w:themeColor="background1"/>
        </w:rPr>
        <w:endnoteReference w:id="46"/>
      </w:r>
      <w:r w:rsidR="00B65A50" w:rsidRPr="00F041AD">
        <w:rPr>
          <w:rFonts w:asciiTheme="minorHAnsi" w:eastAsia="Cambria" w:hAnsiTheme="minorHAnsi" w:cs="Cambria"/>
          <w:color w:val="333333" w:themeColor="background1"/>
          <w:sz w:val="24"/>
          <w:lang w:eastAsia="en-US"/>
        </w:rPr>
        <w:t xml:space="preserve"> </w:t>
      </w:r>
      <w:r w:rsidR="00B65A50" w:rsidRPr="00F041AD">
        <w:rPr>
          <w:rStyle w:val="EndnoteReference"/>
          <w:rFonts w:eastAsia="Cambria" w:cs="Cambria"/>
          <w:color w:val="333333" w:themeColor="background1"/>
          <w:szCs w:val="20"/>
          <w:lang w:eastAsia="en-US"/>
        </w:rPr>
        <w:endnoteReference w:id="47"/>
      </w:r>
      <w:r w:rsidR="00B65A50" w:rsidRPr="00F041AD">
        <w:rPr>
          <w:rFonts w:eastAsia="Cambria" w:cs="Cambria"/>
          <w:color w:val="333333" w:themeColor="background1"/>
          <w:sz w:val="24"/>
          <w:lang w:eastAsia="en-US"/>
        </w:rPr>
        <w:t xml:space="preserve"> </w:t>
      </w:r>
      <w:r w:rsidR="00B65A50" w:rsidRPr="00F041AD">
        <w:rPr>
          <w:color w:val="333333" w:themeColor="background1"/>
        </w:rPr>
        <w:t>Going forward, the status of the Clean Power Plan is uncertain: it could be changed or struck down by the courts, Congress, or a new presidential administration.  Finally, federal fuel economy standards are reducing dependence on foreign oil.</w:t>
      </w:r>
      <w:r w:rsidR="00B65A50" w:rsidRPr="00F041AD">
        <w:rPr>
          <w:color w:val="333333" w:themeColor="background1"/>
          <w:vertAlign w:val="superscript"/>
        </w:rPr>
        <w:endnoteReference w:id="48"/>
      </w:r>
    </w:p>
    <w:p w14:paraId="1E11FBD9" w14:textId="665AA5AB" w:rsidR="00B65A50" w:rsidRPr="00F041AD" w:rsidRDefault="00B65A50" w:rsidP="00F82D2C">
      <w:pPr>
        <w:pStyle w:val="5BodyText"/>
        <w:rPr>
          <w:color w:val="333333" w:themeColor="background1"/>
        </w:rPr>
      </w:pPr>
    </w:p>
    <w:p w14:paraId="053F524A" w14:textId="32F78368" w:rsidR="00B65A50" w:rsidRPr="00F041AD" w:rsidRDefault="00B65A50" w:rsidP="00F82D2C">
      <w:pPr>
        <w:pStyle w:val="5BodyText"/>
        <w:rPr>
          <w:color w:val="333333" w:themeColor="background1"/>
        </w:rPr>
      </w:pPr>
      <w:r w:rsidRPr="00F041AD">
        <w:rPr>
          <w:color w:val="333333" w:themeColor="background1"/>
        </w:rPr>
        <w:t>These federal regulations and legislation, coupled with trends in the energy sector’s supply and demand sides, are contributing to a rapidly changing energy landscape in which clean energy is becoming competitive with conventional energy resources.</w:t>
      </w:r>
    </w:p>
    <w:p w14:paraId="5328789A" w14:textId="77777777" w:rsidR="00B65A50" w:rsidRPr="00F041AD" w:rsidRDefault="00B65A50" w:rsidP="00DD0CE4">
      <w:pPr>
        <w:pStyle w:val="5BodyText"/>
        <w:rPr>
          <w:color w:val="333333" w:themeColor="background1"/>
        </w:rPr>
      </w:pPr>
    </w:p>
    <w:p w14:paraId="012F2A8D" w14:textId="4F57AD18" w:rsidR="00B65A50" w:rsidRPr="00F041AD" w:rsidRDefault="00B65A50" w:rsidP="007F3F44">
      <w:pPr>
        <w:pStyle w:val="6BodyHighlight"/>
        <w:rPr>
          <w:color w:val="333333" w:themeColor="background1"/>
        </w:rPr>
      </w:pPr>
      <w:bookmarkStart w:id="89" w:name="_Toc322961611"/>
      <w:r w:rsidRPr="00F041AD">
        <w:rPr>
          <w:color w:val="333333" w:themeColor="background1"/>
        </w:rPr>
        <w:t>Minnesota energy policy landscape</w:t>
      </w:r>
      <w:bookmarkEnd w:id="89"/>
    </w:p>
    <w:p w14:paraId="0C368284" w14:textId="77777777" w:rsidR="00B65A50" w:rsidRPr="00F041AD" w:rsidRDefault="00B65A50" w:rsidP="002A7A7F">
      <w:pPr>
        <w:pStyle w:val="5BodyText"/>
        <w:rPr>
          <w:color w:val="333333" w:themeColor="background1"/>
        </w:rPr>
      </w:pPr>
      <w:r w:rsidRPr="00F041AD">
        <w:rPr>
          <w:color w:val="333333" w:themeColor="background1"/>
        </w:rPr>
        <w:t>For decades, Minnesota has been a leader in energy innovation, beginning with its Conservation Improvement Statute in 1980, through its Renewable Portfolio Standard in 2007 and community solar gardens today. In addition to these pioneering policies, Minnesota has also introduced ambitious policy goals. This section details the energy policy landscape in Minnesota.</w:t>
      </w:r>
    </w:p>
    <w:p w14:paraId="54D375B6" w14:textId="77777777" w:rsidR="00B65A50" w:rsidRPr="00F041AD" w:rsidRDefault="00B65A50" w:rsidP="00234507">
      <w:pPr>
        <w:pStyle w:val="5BodyText"/>
        <w:rPr>
          <w:color w:val="333333" w:themeColor="background1"/>
        </w:rPr>
      </w:pPr>
    </w:p>
    <w:p w14:paraId="18AD7443" w14:textId="5EEACC87" w:rsidR="00B65A50" w:rsidRPr="00F041AD" w:rsidRDefault="00B65A50" w:rsidP="007F3F44">
      <w:pPr>
        <w:pStyle w:val="6BodyHighlight"/>
        <w:rPr>
          <w:color w:val="333333" w:themeColor="background1"/>
        </w:rPr>
      </w:pPr>
      <w:bookmarkStart w:id="90" w:name="_Toc322961612"/>
      <w:r w:rsidRPr="00F041AD">
        <w:rPr>
          <w:color w:val="333333" w:themeColor="background1"/>
        </w:rPr>
        <w:t>Energy efficiency</w:t>
      </w:r>
      <w:bookmarkEnd w:id="90"/>
      <w:r w:rsidR="00FD7016" w:rsidRPr="00F041AD">
        <w:rPr>
          <w:noProof/>
          <w:color w:val="333333" w:themeColor="background1"/>
          <w:lang w:eastAsia="en-US"/>
        </w:rPr>
        <w:t xml:space="preserve"> </w:t>
      </w:r>
    </w:p>
    <w:p w14:paraId="2F9A7219" w14:textId="181EDF3C" w:rsidR="00B65A50" w:rsidRPr="00F041AD" w:rsidRDefault="00B65A50" w:rsidP="00874B15">
      <w:pPr>
        <w:pStyle w:val="5BodyText"/>
        <w:rPr>
          <w:color w:val="333333" w:themeColor="background1"/>
        </w:rPr>
      </w:pPr>
      <w:r w:rsidRPr="00F041AD">
        <w:rPr>
          <w:color w:val="333333" w:themeColor="background1"/>
        </w:rPr>
        <w:lastRenderedPageBreak/>
        <w:t xml:space="preserve">In the early 1980s, Minnesota enacted its </w:t>
      </w:r>
      <w:r w:rsidRPr="00F041AD">
        <w:rPr>
          <w:b/>
          <w:color w:val="333333" w:themeColor="background1"/>
        </w:rPr>
        <w:t>Conservation Improvement Program</w:t>
      </w:r>
      <w:r w:rsidRPr="00F041AD">
        <w:rPr>
          <w:color w:val="333333" w:themeColor="background1"/>
        </w:rPr>
        <w:t xml:space="preserve"> (CIP), and utilities invested hundreds of millions of dollars to improve energy efficiency. </w:t>
      </w:r>
    </w:p>
    <w:p w14:paraId="5317F0B6" w14:textId="77777777" w:rsidR="00B65A50" w:rsidRPr="00F041AD" w:rsidRDefault="00B65A50" w:rsidP="00874B15">
      <w:pPr>
        <w:pStyle w:val="5BodyText"/>
        <w:rPr>
          <w:color w:val="333333" w:themeColor="background1"/>
        </w:rPr>
      </w:pPr>
    </w:p>
    <w:p w14:paraId="587A68D5" w14:textId="45554ADD" w:rsidR="00B65A50" w:rsidRPr="00F041AD" w:rsidRDefault="00B65A50" w:rsidP="00874B15">
      <w:pPr>
        <w:pStyle w:val="5BodyText"/>
        <w:rPr>
          <w:color w:val="333333" w:themeColor="background1"/>
        </w:rPr>
      </w:pPr>
      <w:r w:rsidRPr="00F041AD">
        <w:rPr>
          <w:color w:val="333333" w:themeColor="background1"/>
        </w:rPr>
        <w:t xml:space="preserve">In 2007, Minnesota amended the </w:t>
      </w:r>
      <w:r w:rsidRPr="00F041AD">
        <w:rPr>
          <w:b/>
          <w:color w:val="333333" w:themeColor="background1"/>
        </w:rPr>
        <w:t xml:space="preserve">Conservation Improvement Program </w:t>
      </w:r>
      <w:r w:rsidRPr="00F041AD">
        <w:rPr>
          <w:color w:val="333333" w:themeColor="background1"/>
        </w:rPr>
        <w:t>statute (M.S. 216B.241), transitioning CIP from a spending requirement to a savings requirement. The Conservation Improvement Statute establishes a goal for Minnesota’s electric and natural gas utilities to achieve energy savings equal to 1.5 percent of sales each year, effectively doubling the amount of energy saved by Minnesota utilities.</w:t>
      </w:r>
      <w:r w:rsidRPr="00F041AD">
        <w:rPr>
          <w:color w:val="333333" w:themeColor="background1"/>
          <w:vertAlign w:val="superscript"/>
        </w:rPr>
        <w:endnoteReference w:id="49"/>
      </w:r>
      <w:r w:rsidRPr="00F041AD">
        <w:rPr>
          <w:color w:val="333333" w:themeColor="background1"/>
        </w:rPr>
        <w:t xml:space="preserve"> A recent evaluation of the </w:t>
      </w:r>
      <w:r w:rsidRPr="00F041AD">
        <w:rPr>
          <w:b/>
          <w:color w:val="333333" w:themeColor="background1"/>
        </w:rPr>
        <w:t>Shared Savings</w:t>
      </w:r>
      <w:r w:rsidRPr="00F041AD">
        <w:rPr>
          <w:color w:val="333333" w:themeColor="background1"/>
        </w:rPr>
        <w:t xml:space="preserve"> </w:t>
      </w:r>
      <w:r w:rsidRPr="00F041AD">
        <w:rPr>
          <w:b/>
          <w:color w:val="333333" w:themeColor="background1"/>
        </w:rPr>
        <w:t xml:space="preserve">Demand-Side Management (DSM) Financial Incentive </w:t>
      </w:r>
      <w:r w:rsidRPr="00F041AD">
        <w:rPr>
          <w:color w:val="333333" w:themeColor="background1"/>
        </w:rPr>
        <w:t xml:space="preserve">mechanism finds that from 2010 to 2014 Minnesota electric investor-owned utilities saved roughly 37 billion lifetime kWh. Over the same time period, natural gas investor-owned utilities saved roughly 145 million lifetime </w:t>
      </w:r>
      <w:proofErr w:type="spellStart"/>
      <w:r w:rsidRPr="00F041AD">
        <w:rPr>
          <w:color w:val="333333" w:themeColor="background1"/>
        </w:rPr>
        <w:t>Mcf</w:t>
      </w:r>
      <w:proofErr w:type="spellEnd"/>
      <w:r w:rsidRPr="00F041AD">
        <w:rPr>
          <w:color w:val="333333" w:themeColor="background1"/>
        </w:rPr>
        <w:t>. Even when accounting for the cost of Minnesota’s financial incentives, electric and natural gas utilities’ CIP investments have resulted in $2.1 billion in net benefits to the state.</w:t>
      </w:r>
      <w:r w:rsidRPr="00F041AD">
        <w:rPr>
          <w:color w:val="333333" w:themeColor="background1"/>
          <w:vertAlign w:val="superscript"/>
        </w:rPr>
        <w:endnoteReference w:id="50"/>
      </w:r>
    </w:p>
    <w:p w14:paraId="5151E47A" w14:textId="77777777" w:rsidR="00B65A50" w:rsidRPr="00F041AD" w:rsidRDefault="00B65A50" w:rsidP="002A7A7F">
      <w:pPr>
        <w:pStyle w:val="5BodyText"/>
        <w:rPr>
          <w:color w:val="333333" w:themeColor="background1"/>
        </w:rPr>
      </w:pPr>
    </w:p>
    <w:p w14:paraId="33C768F4" w14:textId="013A7A64" w:rsidR="00B65A50" w:rsidRPr="00F041AD" w:rsidRDefault="00B65A50" w:rsidP="00553A1C">
      <w:pPr>
        <w:pStyle w:val="5BodyText"/>
        <w:rPr>
          <w:color w:val="333333" w:themeColor="background1"/>
        </w:rPr>
      </w:pPr>
      <w:r w:rsidRPr="00F041AD">
        <w:rPr>
          <w:color w:val="333333" w:themeColor="background1"/>
        </w:rPr>
        <w:t xml:space="preserve">In 2011, Minnesota Governor Dayton issued Executive Order 11-12, </w:t>
      </w:r>
      <w:r w:rsidRPr="00F041AD">
        <w:rPr>
          <w:b/>
          <w:color w:val="333333" w:themeColor="background1"/>
        </w:rPr>
        <w:t>Energy Standards for Public Buildings</w:t>
      </w:r>
      <w:r w:rsidRPr="00F041AD">
        <w:rPr>
          <w:color w:val="333333" w:themeColor="background1"/>
        </w:rPr>
        <w:t xml:space="preserve">, which requires a 20 percent reduction in energy use in state-owned buildings. Each state agency must track building energy use within B3 Benchmarking software, set site-specific energy goals, and report progress annually. B3 Benchmarking tracks energy use in nearly 8000 buildings and has identified easily achievable savings of over 3 million MMBTU annually. As part of the EO 11-12, Minnesota committed to the U.S. Department of Energy Better Building Challenge (BBC). The BBC commits Minnesota to a 20 percent reduction in energy use by 2020. As of 2014, Minnesota State buildings had reduced energy use by five percent. Minnesota highlighted the Guaranteed Energy Savings Program (GESP) as the implementation model for state agency energy reduction. </w:t>
      </w:r>
    </w:p>
    <w:p w14:paraId="04122466" w14:textId="77777777" w:rsidR="00B65A50" w:rsidRPr="00F041AD" w:rsidRDefault="00B65A50" w:rsidP="00553A1C">
      <w:pPr>
        <w:pStyle w:val="5BodyText"/>
        <w:rPr>
          <w:color w:val="333333" w:themeColor="background1"/>
        </w:rPr>
      </w:pPr>
    </w:p>
    <w:p w14:paraId="470B02AB" w14:textId="77777777" w:rsidR="00B65A50" w:rsidRPr="00F041AD" w:rsidRDefault="00B65A50" w:rsidP="00553A1C">
      <w:pPr>
        <w:pStyle w:val="5BodyText"/>
        <w:rPr>
          <w:color w:val="333333" w:themeColor="background1"/>
          <w:lang w:val="en"/>
        </w:rPr>
      </w:pPr>
      <w:r w:rsidRPr="00F041AD">
        <w:rPr>
          <w:color w:val="333333" w:themeColor="background1"/>
        </w:rPr>
        <w:t xml:space="preserve">The </w:t>
      </w:r>
      <w:r w:rsidRPr="00F041AD">
        <w:rPr>
          <w:b/>
          <w:color w:val="333333" w:themeColor="background1"/>
        </w:rPr>
        <w:t>Guaranteed Energy Savings Program</w:t>
      </w:r>
      <w:r w:rsidRPr="00F041AD">
        <w:rPr>
          <w:color w:val="333333" w:themeColor="background1"/>
        </w:rPr>
        <w:t xml:space="preserve"> (GESP) (M.S. </w:t>
      </w:r>
      <w:r w:rsidRPr="00F041AD">
        <w:rPr>
          <w:bCs/>
          <w:color w:val="333333" w:themeColor="background1"/>
          <w:lang w:val="en"/>
        </w:rPr>
        <w:t xml:space="preserve">16C.144) </w:t>
      </w:r>
      <w:r w:rsidRPr="00F041AD">
        <w:rPr>
          <w:color w:val="333333" w:themeColor="background1"/>
          <w:lang w:val="en"/>
        </w:rPr>
        <w:t xml:space="preserve">is a procurement and financing mechanism that assists state agencies, local units of government, school districts and institutions of higher education with the development, implementation and ongoing measurement &amp; verification of energy efficiency and/or renewable energy projects. Participants gain access to technical assistance from the </w:t>
      </w:r>
      <w:r w:rsidRPr="00F041AD">
        <w:rPr>
          <w:color w:val="333333" w:themeColor="background1"/>
        </w:rPr>
        <w:t xml:space="preserve">Minnesota </w:t>
      </w:r>
      <w:r w:rsidRPr="00F041AD">
        <w:rPr>
          <w:color w:val="333333" w:themeColor="background1"/>
          <w:lang w:val="en"/>
        </w:rPr>
        <w:t>Department of Commerce, pre-qualified Energy Services Companies, Master Contract, selection and procurement documents, and GESP staff oversight for each phase of the project that can last up to 25 years. The intent of the program is to maximize job creation and operational cost savings through investment in public facilities.</w:t>
      </w:r>
    </w:p>
    <w:p w14:paraId="0C723B02" w14:textId="77777777" w:rsidR="00B65A50" w:rsidRPr="00F041AD" w:rsidRDefault="00B65A50" w:rsidP="00553A1C">
      <w:pPr>
        <w:pStyle w:val="5BodyText"/>
        <w:rPr>
          <w:color w:val="333333" w:themeColor="background1"/>
          <w:lang w:val="en"/>
        </w:rPr>
      </w:pPr>
    </w:p>
    <w:p w14:paraId="154E69E3" w14:textId="77777777" w:rsidR="00B65A50" w:rsidRPr="00F041AD" w:rsidRDefault="00B65A50" w:rsidP="00553A1C">
      <w:pPr>
        <w:pStyle w:val="5BodyText"/>
        <w:rPr>
          <w:color w:val="333333" w:themeColor="background1"/>
        </w:rPr>
      </w:pPr>
      <w:r w:rsidRPr="00F041AD">
        <w:rPr>
          <w:color w:val="333333" w:themeColor="background1"/>
          <w:lang w:val="en"/>
        </w:rPr>
        <w:t xml:space="preserve">The </w:t>
      </w:r>
      <w:r w:rsidRPr="00F041AD">
        <w:rPr>
          <w:b/>
          <w:color w:val="333333" w:themeColor="background1"/>
          <w:lang w:val="en"/>
        </w:rPr>
        <w:t xml:space="preserve">Local Energy Efficiency Program </w:t>
      </w:r>
      <w:r w:rsidRPr="00F041AD">
        <w:rPr>
          <w:color w:val="333333" w:themeColor="background1"/>
          <w:lang w:val="en"/>
        </w:rPr>
        <w:t xml:space="preserve">(LEEP) and the </w:t>
      </w:r>
      <w:r w:rsidRPr="00F041AD">
        <w:rPr>
          <w:b/>
          <w:color w:val="333333" w:themeColor="background1"/>
          <w:lang w:val="en"/>
        </w:rPr>
        <w:t>Energy Savings Partnership</w:t>
      </w:r>
      <w:r w:rsidRPr="00F041AD">
        <w:rPr>
          <w:color w:val="333333" w:themeColor="background1"/>
          <w:lang w:val="en"/>
        </w:rPr>
        <w:t xml:space="preserve"> (M.S. 216C.42-216C.43) help local units of government and school districts identify, study, implement, and finance energy efficiency and recommissioning projects. LEEP helps participants to identify site-specific goals, find high-quality firms to perform an investment grade audit, and gain access to low-interest lease-purchase financing. Participants </w:t>
      </w:r>
      <w:r w:rsidRPr="00F041AD">
        <w:rPr>
          <w:color w:val="333333" w:themeColor="background1"/>
          <w:lang w:val="en"/>
        </w:rPr>
        <w:lastRenderedPageBreak/>
        <w:t xml:space="preserve">gain access to the </w:t>
      </w:r>
      <w:r w:rsidRPr="00F041AD">
        <w:rPr>
          <w:color w:val="333333" w:themeColor="background1"/>
        </w:rPr>
        <w:t xml:space="preserve">Minnesota </w:t>
      </w:r>
      <w:r w:rsidRPr="00F041AD">
        <w:rPr>
          <w:color w:val="333333" w:themeColor="background1"/>
          <w:lang w:val="en"/>
        </w:rPr>
        <w:t>Department of Commerce technical assistance through each stage of the process.</w:t>
      </w:r>
    </w:p>
    <w:p w14:paraId="7C40D8BE" w14:textId="77777777" w:rsidR="00B65A50" w:rsidRPr="00F041AD" w:rsidRDefault="00B65A50" w:rsidP="00553A1C">
      <w:pPr>
        <w:pStyle w:val="5BodyText"/>
        <w:rPr>
          <w:color w:val="333333" w:themeColor="background1"/>
        </w:rPr>
      </w:pPr>
    </w:p>
    <w:p w14:paraId="5EC7E277" w14:textId="77777777" w:rsidR="00B65A50" w:rsidRPr="00F041AD" w:rsidRDefault="00B65A50" w:rsidP="00553A1C">
      <w:pPr>
        <w:pStyle w:val="5BodyText"/>
        <w:rPr>
          <w:color w:val="333333" w:themeColor="background1"/>
        </w:rPr>
      </w:pPr>
      <w:r w:rsidRPr="00F041AD">
        <w:rPr>
          <w:color w:val="333333" w:themeColor="background1"/>
        </w:rPr>
        <w:t xml:space="preserve">The </w:t>
      </w:r>
      <w:r w:rsidRPr="00F041AD">
        <w:rPr>
          <w:b/>
          <w:color w:val="333333" w:themeColor="background1"/>
        </w:rPr>
        <w:t>Buildings, Benchmarks, and Beyond (B3)</w:t>
      </w:r>
      <w:r w:rsidRPr="00F041AD">
        <w:rPr>
          <w:color w:val="333333" w:themeColor="background1"/>
        </w:rPr>
        <w:t xml:space="preserve"> suite of tools (funded and administered by the Minnesota Department of Commerce) was developed to help make buildings more energy efficient and sustainable. The B3 programs have been developed for and are required on State-funded projects in Minnesota; however they can be applied to any project. The </w:t>
      </w:r>
      <w:r w:rsidRPr="00F041AD">
        <w:rPr>
          <w:i/>
          <w:iCs/>
          <w:color w:val="333333" w:themeColor="background1"/>
        </w:rPr>
        <w:t xml:space="preserve">B3 Guidelines </w:t>
      </w:r>
      <w:r w:rsidRPr="00F041AD">
        <w:rPr>
          <w:color w:val="333333" w:themeColor="background1"/>
        </w:rPr>
        <w:t xml:space="preserve">and the </w:t>
      </w:r>
      <w:r w:rsidRPr="00F041AD">
        <w:rPr>
          <w:i/>
          <w:iCs/>
          <w:color w:val="333333" w:themeColor="background1"/>
        </w:rPr>
        <w:t xml:space="preserve">Sustainable Building (SB) 2030 Energy Standard </w:t>
      </w:r>
      <w:r w:rsidRPr="00F041AD">
        <w:rPr>
          <w:color w:val="333333" w:themeColor="background1"/>
        </w:rPr>
        <w:t xml:space="preserve">can be applied to new and renovated buildings during design. </w:t>
      </w:r>
      <w:r w:rsidRPr="00F041AD">
        <w:rPr>
          <w:i/>
          <w:iCs/>
          <w:color w:val="333333" w:themeColor="background1"/>
        </w:rPr>
        <w:t>B3 Benchmarking</w:t>
      </w:r>
      <w:r w:rsidRPr="00F041AD">
        <w:rPr>
          <w:color w:val="333333" w:themeColor="background1"/>
        </w:rPr>
        <w:t xml:space="preserve">, </w:t>
      </w:r>
      <w:r w:rsidRPr="00F041AD">
        <w:rPr>
          <w:i/>
          <w:iCs/>
          <w:color w:val="333333" w:themeColor="background1"/>
        </w:rPr>
        <w:t xml:space="preserve">B3 Energy Efficient Operations </w:t>
      </w:r>
      <w:r w:rsidRPr="00F041AD">
        <w:rPr>
          <w:color w:val="333333" w:themeColor="background1"/>
        </w:rPr>
        <w:t xml:space="preserve">and the </w:t>
      </w:r>
      <w:r w:rsidRPr="00F041AD">
        <w:rPr>
          <w:i/>
          <w:iCs/>
          <w:color w:val="333333" w:themeColor="background1"/>
        </w:rPr>
        <w:t xml:space="preserve">B3 Post Occupancy Evaluation (POE) </w:t>
      </w:r>
      <w:r w:rsidRPr="00F041AD">
        <w:rPr>
          <w:color w:val="333333" w:themeColor="background1"/>
        </w:rPr>
        <w:t>tools can be used to evaluate and improve existing buildings.</w:t>
      </w:r>
      <w:r w:rsidRPr="00F041AD">
        <w:rPr>
          <w:color w:val="333333" w:themeColor="background1"/>
          <w:vertAlign w:val="superscript"/>
        </w:rPr>
        <w:endnoteReference w:id="51"/>
      </w:r>
    </w:p>
    <w:p w14:paraId="7CA60D49" w14:textId="77777777" w:rsidR="00B65A50" w:rsidRPr="00F041AD" w:rsidRDefault="00B65A50" w:rsidP="00A53585">
      <w:pPr>
        <w:pStyle w:val="5BodyText"/>
        <w:rPr>
          <w:b/>
          <w:color w:val="333333" w:themeColor="background1"/>
        </w:rPr>
      </w:pPr>
    </w:p>
    <w:p w14:paraId="50E60E72" w14:textId="77777777" w:rsidR="00B65A50" w:rsidRPr="00F041AD" w:rsidRDefault="00B65A50" w:rsidP="00A53585">
      <w:pPr>
        <w:pStyle w:val="5BodyText"/>
        <w:rPr>
          <w:color w:val="333333" w:themeColor="background1"/>
        </w:rPr>
      </w:pPr>
      <w:r w:rsidRPr="00F041AD">
        <w:rPr>
          <w:b/>
          <w:color w:val="333333" w:themeColor="background1"/>
        </w:rPr>
        <w:t xml:space="preserve">Sustainable Buildings 2030 </w:t>
      </w:r>
      <w:r w:rsidRPr="00F041AD">
        <w:rPr>
          <w:color w:val="333333" w:themeColor="background1"/>
        </w:rPr>
        <w:t>(SB 2030) (M.S. 216B.241) is an energy performance requirement for all state-bonded buildings that receive General Obligation (GO) Bonds. Energy standards for new buildings require an increasing reduction of carbon-producing fuel, from 60 percent in 2010 to 100 percent in 2030. These targets are halved for renovations of existing buildings.</w:t>
      </w:r>
      <w:r w:rsidRPr="00F041AD">
        <w:rPr>
          <w:color w:val="333333" w:themeColor="background1"/>
          <w:vertAlign w:val="superscript"/>
        </w:rPr>
        <w:endnoteReference w:id="52"/>
      </w:r>
      <w:r w:rsidRPr="00F041AD">
        <w:rPr>
          <w:color w:val="333333" w:themeColor="background1"/>
        </w:rPr>
        <w:t xml:space="preserve"> To date, the SB2030 requirements have saved an estimated 534,000 MMBTU annually in avoided energy consumption, 58,000 tons annual estimated avoided CO</w:t>
      </w:r>
      <w:r w:rsidRPr="00F041AD">
        <w:rPr>
          <w:color w:val="333333" w:themeColor="background1"/>
          <w:vertAlign w:val="subscript"/>
        </w:rPr>
        <w:t>2</w:t>
      </w:r>
      <w:r w:rsidRPr="00F041AD">
        <w:rPr>
          <w:color w:val="333333" w:themeColor="background1"/>
        </w:rPr>
        <w:t>e, and $8.3 million in estimated annual energy savings.</w:t>
      </w:r>
    </w:p>
    <w:p w14:paraId="08F05E19" w14:textId="77777777" w:rsidR="00B65A50" w:rsidRPr="00F041AD" w:rsidRDefault="00B65A50" w:rsidP="00A53585">
      <w:pPr>
        <w:pStyle w:val="5BodyText"/>
        <w:rPr>
          <w:color w:val="333333" w:themeColor="background1"/>
        </w:rPr>
      </w:pPr>
    </w:p>
    <w:p w14:paraId="0856975D" w14:textId="09BE49E7" w:rsidR="00B65A50" w:rsidRPr="00F041AD" w:rsidRDefault="00B65A50" w:rsidP="007F3F44">
      <w:pPr>
        <w:pStyle w:val="6BodyHighlight"/>
        <w:rPr>
          <w:color w:val="333333" w:themeColor="background1"/>
        </w:rPr>
      </w:pPr>
      <w:bookmarkStart w:id="91" w:name="_Toc322961613"/>
      <w:r w:rsidRPr="00F041AD">
        <w:rPr>
          <w:color w:val="333333" w:themeColor="background1"/>
        </w:rPr>
        <w:t>Energy and electricity supply</w:t>
      </w:r>
      <w:bookmarkEnd w:id="91"/>
    </w:p>
    <w:p w14:paraId="4597384A" w14:textId="37571D77" w:rsidR="00B65A50" w:rsidRPr="00F041AD" w:rsidRDefault="00B65A50" w:rsidP="00AB37C1">
      <w:pPr>
        <w:pStyle w:val="5BodyText"/>
        <w:rPr>
          <w:color w:val="333333" w:themeColor="background1"/>
        </w:rPr>
      </w:pPr>
      <w:r w:rsidRPr="00F041AD">
        <w:rPr>
          <w:color w:val="333333" w:themeColor="background1"/>
        </w:rPr>
        <w:t xml:space="preserve">Minnesota revised its 2001 voluntary renewable energy objective to create a </w:t>
      </w:r>
      <w:r w:rsidRPr="00F041AD">
        <w:rPr>
          <w:b/>
          <w:color w:val="333333" w:themeColor="background1"/>
        </w:rPr>
        <w:t>Renewable Energy Standard</w:t>
      </w:r>
      <w:r w:rsidRPr="00F041AD">
        <w:rPr>
          <w:color w:val="333333" w:themeColor="background1"/>
        </w:rPr>
        <w:t xml:space="preserve"> in 2007 (M.S. 216B.1691), requiring more than 25 percent of retail electricity sales be renewable by 2025, with a higher standard and accelerated timeline for Xcel.</w:t>
      </w:r>
      <w:r w:rsidRPr="00F041AD">
        <w:rPr>
          <w:color w:val="333333" w:themeColor="background1"/>
          <w:vertAlign w:val="superscript"/>
        </w:rPr>
        <w:endnoteReference w:id="53"/>
      </w:r>
      <w:r w:rsidRPr="00F041AD">
        <w:rPr>
          <w:color w:val="333333" w:themeColor="background1"/>
        </w:rPr>
        <w:t xml:space="preserve"> In 2013, Minnesota passed H.F. 729, which requires that 1.5 percent of public utilities’ retail electricity sales come from solar energy. Further, the bill set a statewide goal of generating 10 percent of retail electric sales from solar energy by 2030.</w:t>
      </w:r>
      <w:r w:rsidRPr="00F041AD">
        <w:rPr>
          <w:color w:val="333333" w:themeColor="background1"/>
          <w:vertAlign w:val="superscript"/>
        </w:rPr>
        <w:endnoteReference w:id="54"/>
      </w:r>
      <w:r w:rsidRPr="00F041AD">
        <w:rPr>
          <w:color w:val="333333" w:themeColor="background1"/>
        </w:rPr>
        <w:t xml:space="preserve"> </w:t>
      </w:r>
    </w:p>
    <w:p w14:paraId="555742F4" w14:textId="77777777" w:rsidR="00B65A50" w:rsidRPr="00F041AD" w:rsidRDefault="00B65A50" w:rsidP="00AB37C1">
      <w:pPr>
        <w:pStyle w:val="5BodyText"/>
        <w:rPr>
          <w:color w:val="333333" w:themeColor="background1"/>
        </w:rPr>
      </w:pPr>
    </w:p>
    <w:p w14:paraId="7CF979B0" w14:textId="6D6945E3" w:rsidR="00B65A50" w:rsidRPr="00F041AD" w:rsidRDefault="00B65A50" w:rsidP="00AB37C1">
      <w:pPr>
        <w:pStyle w:val="5BodyText"/>
        <w:rPr>
          <w:color w:val="333333" w:themeColor="background1"/>
        </w:rPr>
      </w:pPr>
      <w:r w:rsidRPr="00F041AD">
        <w:rPr>
          <w:color w:val="333333" w:themeColor="background1"/>
        </w:rPr>
        <w:t>The Minnesota Public Utilities Commission (PUC) and Minnesota Department of Commerce track utility compliance with the RPS through the Midwest Renewable Energy Tracking System (M-RETS). In 2015, the PUC found that all utilities that are subject to RPS requirements met the 12 percent Renewable Energy Standards for 2012 to 2013 (18 percent for Xcel Energy), and had plans to meet the standards for the 2014 to 2016 reporting period.</w:t>
      </w:r>
      <w:r w:rsidRPr="00F041AD">
        <w:rPr>
          <w:color w:val="333333" w:themeColor="background1"/>
          <w:vertAlign w:val="superscript"/>
        </w:rPr>
        <w:endnoteReference w:id="55"/>
      </w:r>
      <w:r w:rsidRPr="00F041AD">
        <w:rPr>
          <w:color w:val="333333" w:themeColor="background1"/>
        </w:rPr>
        <w:t xml:space="preserve"> In fact, a recent analysis indicated that Minnesota is on track, not only to comply but to exceed the RPS.</w:t>
      </w:r>
      <w:r w:rsidRPr="00F041AD">
        <w:rPr>
          <w:color w:val="333333" w:themeColor="background1"/>
          <w:vertAlign w:val="superscript"/>
        </w:rPr>
        <w:endnoteReference w:id="56"/>
      </w:r>
    </w:p>
    <w:p w14:paraId="0DA2A603" w14:textId="77777777" w:rsidR="00B65A50" w:rsidRPr="00F041AD" w:rsidRDefault="00B65A50" w:rsidP="002A7A7F">
      <w:pPr>
        <w:pStyle w:val="5BodyText"/>
        <w:rPr>
          <w:color w:val="333333" w:themeColor="background1"/>
        </w:rPr>
      </w:pPr>
    </w:p>
    <w:p w14:paraId="188D1EFC" w14:textId="422DA4C7" w:rsidR="00B65A50" w:rsidRPr="00F041AD" w:rsidRDefault="00B65A50" w:rsidP="00726677">
      <w:pPr>
        <w:pStyle w:val="7Caption"/>
        <w:rPr>
          <w:color w:val="333333" w:themeColor="background1"/>
        </w:rPr>
      </w:pPr>
      <w:r w:rsidRPr="00F041AD">
        <w:rPr>
          <w:color w:val="333333" w:themeColor="background1"/>
        </w:rPr>
        <w:lastRenderedPageBreak/>
        <w:t xml:space="preserve">Table </w:t>
      </w:r>
      <w:r w:rsidR="0010025D" w:rsidRPr="00F041AD">
        <w:rPr>
          <w:color w:val="333333" w:themeColor="background1"/>
        </w:rPr>
        <w:fldChar w:fldCharType="begin"/>
      </w:r>
      <w:r w:rsidR="0010025D" w:rsidRPr="00F041AD">
        <w:rPr>
          <w:color w:val="333333" w:themeColor="background1"/>
        </w:rPr>
        <w:instrText xml:space="preserve"> SEQ Table \* ARABIC </w:instrText>
      </w:r>
      <w:r w:rsidR="0010025D" w:rsidRPr="00F041AD">
        <w:rPr>
          <w:color w:val="333333" w:themeColor="background1"/>
        </w:rPr>
        <w:fldChar w:fldCharType="separate"/>
      </w:r>
      <w:r w:rsidR="00171E58">
        <w:rPr>
          <w:noProof/>
          <w:color w:val="333333" w:themeColor="background1"/>
        </w:rPr>
        <w:t>2</w:t>
      </w:r>
      <w:r w:rsidR="0010025D" w:rsidRPr="00F041AD">
        <w:rPr>
          <w:noProof/>
          <w:color w:val="333333" w:themeColor="background1"/>
        </w:rPr>
        <w:fldChar w:fldCharType="end"/>
      </w:r>
      <w:r w:rsidRPr="00F041AD">
        <w:rPr>
          <w:color w:val="333333" w:themeColor="background1"/>
        </w:rPr>
        <w:t>: Minnesota renewable energy standard requirements</w:t>
      </w:r>
    </w:p>
    <w:tbl>
      <w:tblPr>
        <w:tblStyle w:val="TableGrid"/>
        <w:tblW w:w="0" w:type="auto"/>
        <w:tblLook w:val="04A0" w:firstRow="1" w:lastRow="0" w:firstColumn="1" w:lastColumn="0" w:noHBand="0" w:noVBand="1"/>
      </w:tblPr>
      <w:tblGrid>
        <w:gridCol w:w="3432"/>
        <w:gridCol w:w="5586"/>
        <w:gridCol w:w="1278"/>
      </w:tblGrid>
      <w:tr w:rsidR="00B65A50" w:rsidRPr="00F041AD" w14:paraId="3BE9BE06" w14:textId="77777777" w:rsidTr="00747052">
        <w:tc>
          <w:tcPr>
            <w:tcW w:w="3432" w:type="dxa"/>
          </w:tcPr>
          <w:p w14:paraId="1B98DA88" w14:textId="39585809" w:rsidR="00B65A50" w:rsidRPr="00F041AD" w:rsidRDefault="00B65A50" w:rsidP="00726677">
            <w:pPr>
              <w:pStyle w:val="5BodyText"/>
              <w:keepNext/>
              <w:keepLines/>
              <w:rPr>
                <w:b/>
                <w:color w:val="333333" w:themeColor="background1"/>
              </w:rPr>
            </w:pPr>
            <w:r w:rsidRPr="00F041AD">
              <w:rPr>
                <w:b/>
                <w:color w:val="333333" w:themeColor="background1"/>
              </w:rPr>
              <w:t>Utility</w:t>
            </w:r>
          </w:p>
        </w:tc>
        <w:tc>
          <w:tcPr>
            <w:tcW w:w="5586" w:type="dxa"/>
          </w:tcPr>
          <w:p w14:paraId="52044874" w14:textId="0D3624E5" w:rsidR="00B65A50" w:rsidRPr="00F041AD" w:rsidRDefault="00B65A50" w:rsidP="00726677">
            <w:pPr>
              <w:pStyle w:val="5BodyText"/>
              <w:keepNext/>
              <w:keepLines/>
              <w:rPr>
                <w:b/>
                <w:color w:val="333333" w:themeColor="background1"/>
              </w:rPr>
            </w:pPr>
            <w:r w:rsidRPr="00F041AD">
              <w:rPr>
                <w:b/>
                <w:color w:val="333333" w:themeColor="background1"/>
              </w:rPr>
              <w:t>Percent Renewable (+ solar standard)</w:t>
            </w:r>
          </w:p>
        </w:tc>
        <w:tc>
          <w:tcPr>
            <w:tcW w:w="1278" w:type="dxa"/>
          </w:tcPr>
          <w:p w14:paraId="095C7B10" w14:textId="71320D93" w:rsidR="00B65A50" w:rsidRPr="00F041AD" w:rsidRDefault="00B65A50" w:rsidP="00726677">
            <w:pPr>
              <w:pStyle w:val="5BodyText"/>
              <w:keepNext/>
              <w:keepLines/>
              <w:rPr>
                <w:b/>
                <w:color w:val="333333" w:themeColor="background1"/>
              </w:rPr>
            </w:pPr>
            <w:r w:rsidRPr="00F041AD">
              <w:rPr>
                <w:b/>
                <w:color w:val="333333" w:themeColor="background1"/>
              </w:rPr>
              <w:t>Year</w:t>
            </w:r>
          </w:p>
        </w:tc>
      </w:tr>
      <w:tr w:rsidR="00B65A50" w:rsidRPr="00F041AD" w14:paraId="2BF35790" w14:textId="77777777" w:rsidTr="00747052">
        <w:tc>
          <w:tcPr>
            <w:tcW w:w="3432" w:type="dxa"/>
          </w:tcPr>
          <w:p w14:paraId="112BC247" w14:textId="283FBCEF" w:rsidR="00B65A50" w:rsidRPr="00F041AD" w:rsidRDefault="00B65A50" w:rsidP="00726677">
            <w:pPr>
              <w:pStyle w:val="5BodyText"/>
              <w:keepNext/>
              <w:keepLines/>
              <w:rPr>
                <w:color w:val="333333" w:themeColor="background1"/>
              </w:rPr>
            </w:pPr>
            <w:r w:rsidRPr="00F041AD">
              <w:rPr>
                <w:color w:val="333333" w:themeColor="background1"/>
              </w:rPr>
              <w:t>Xcel Energy</w:t>
            </w:r>
          </w:p>
        </w:tc>
        <w:tc>
          <w:tcPr>
            <w:tcW w:w="5586" w:type="dxa"/>
          </w:tcPr>
          <w:p w14:paraId="56C8C5F4" w14:textId="303FF278" w:rsidR="00B65A50" w:rsidRPr="00F041AD" w:rsidRDefault="00B65A50" w:rsidP="00726677">
            <w:pPr>
              <w:pStyle w:val="5BodyText"/>
              <w:keepNext/>
              <w:keepLines/>
              <w:rPr>
                <w:color w:val="333333" w:themeColor="background1"/>
              </w:rPr>
            </w:pPr>
            <w:r w:rsidRPr="00F041AD">
              <w:rPr>
                <w:color w:val="333333" w:themeColor="background1"/>
              </w:rPr>
              <w:t>31.5 percent (including a maximum of 1 percent from solar)</w:t>
            </w:r>
          </w:p>
        </w:tc>
        <w:tc>
          <w:tcPr>
            <w:tcW w:w="1278" w:type="dxa"/>
          </w:tcPr>
          <w:p w14:paraId="6F5F0944" w14:textId="2045B0AD" w:rsidR="00B65A50" w:rsidRPr="00F041AD" w:rsidRDefault="00B65A50" w:rsidP="00726677">
            <w:pPr>
              <w:pStyle w:val="5BodyText"/>
              <w:keepNext/>
              <w:keepLines/>
              <w:rPr>
                <w:color w:val="333333" w:themeColor="background1"/>
              </w:rPr>
            </w:pPr>
            <w:r w:rsidRPr="00F041AD">
              <w:rPr>
                <w:color w:val="333333" w:themeColor="background1"/>
              </w:rPr>
              <w:t>2020</w:t>
            </w:r>
          </w:p>
        </w:tc>
      </w:tr>
      <w:tr w:rsidR="00B65A50" w:rsidRPr="00F041AD" w14:paraId="71ABD110" w14:textId="77777777" w:rsidTr="00747052">
        <w:tc>
          <w:tcPr>
            <w:tcW w:w="3432" w:type="dxa"/>
          </w:tcPr>
          <w:p w14:paraId="3172EB7B" w14:textId="2C97907A" w:rsidR="00B65A50" w:rsidRPr="00F041AD" w:rsidRDefault="00B65A50" w:rsidP="00726677">
            <w:pPr>
              <w:pStyle w:val="5BodyText"/>
              <w:keepNext/>
              <w:keepLines/>
              <w:rPr>
                <w:color w:val="333333" w:themeColor="background1"/>
              </w:rPr>
            </w:pPr>
            <w:r w:rsidRPr="00F041AD">
              <w:rPr>
                <w:color w:val="333333" w:themeColor="background1"/>
              </w:rPr>
              <w:t>Other investor-owned utilities</w:t>
            </w:r>
          </w:p>
        </w:tc>
        <w:tc>
          <w:tcPr>
            <w:tcW w:w="5586" w:type="dxa"/>
          </w:tcPr>
          <w:p w14:paraId="20C0A20E" w14:textId="4D8E5191" w:rsidR="00B65A50" w:rsidRPr="00F041AD" w:rsidRDefault="00B65A50" w:rsidP="00726677">
            <w:pPr>
              <w:pStyle w:val="5BodyText"/>
              <w:keepNext/>
              <w:keepLines/>
              <w:rPr>
                <w:color w:val="333333" w:themeColor="background1"/>
              </w:rPr>
            </w:pPr>
            <w:r w:rsidRPr="00F041AD">
              <w:rPr>
                <w:color w:val="333333" w:themeColor="background1"/>
              </w:rPr>
              <w:t>26.5 percent (including 1.5 percent from solar)</w:t>
            </w:r>
          </w:p>
        </w:tc>
        <w:tc>
          <w:tcPr>
            <w:tcW w:w="1278" w:type="dxa"/>
          </w:tcPr>
          <w:p w14:paraId="1915BACC" w14:textId="7CE585A0" w:rsidR="00B65A50" w:rsidRPr="00F041AD" w:rsidRDefault="00B65A50" w:rsidP="00726677">
            <w:pPr>
              <w:pStyle w:val="5BodyText"/>
              <w:keepNext/>
              <w:keepLines/>
              <w:rPr>
                <w:color w:val="333333" w:themeColor="background1"/>
              </w:rPr>
            </w:pPr>
            <w:r w:rsidRPr="00F041AD">
              <w:rPr>
                <w:color w:val="333333" w:themeColor="background1"/>
              </w:rPr>
              <w:t>2025</w:t>
            </w:r>
          </w:p>
        </w:tc>
      </w:tr>
      <w:tr w:rsidR="00B65A50" w:rsidRPr="00F041AD" w14:paraId="0CB9E2F3" w14:textId="77777777" w:rsidTr="00747052">
        <w:tc>
          <w:tcPr>
            <w:tcW w:w="3432" w:type="dxa"/>
          </w:tcPr>
          <w:p w14:paraId="6780526A" w14:textId="0C8DD0B5" w:rsidR="00B65A50" w:rsidRPr="00F041AD" w:rsidRDefault="00B65A50" w:rsidP="00726677">
            <w:pPr>
              <w:pStyle w:val="5BodyText"/>
              <w:keepNext/>
              <w:keepLines/>
              <w:rPr>
                <w:color w:val="333333" w:themeColor="background1"/>
              </w:rPr>
            </w:pPr>
            <w:r w:rsidRPr="00F041AD">
              <w:rPr>
                <w:color w:val="333333" w:themeColor="background1"/>
              </w:rPr>
              <w:t>Municipal and co-operative utilities</w:t>
            </w:r>
          </w:p>
        </w:tc>
        <w:tc>
          <w:tcPr>
            <w:tcW w:w="5586" w:type="dxa"/>
          </w:tcPr>
          <w:p w14:paraId="40E6933C" w14:textId="378C5525" w:rsidR="00B65A50" w:rsidRPr="00F041AD" w:rsidRDefault="00B65A50" w:rsidP="00726677">
            <w:pPr>
              <w:pStyle w:val="5BodyText"/>
              <w:keepNext/>
              <w:keepLines/>
              <w:rPr>
                <w:color w:val="333333" w:themeColor="background1"/>
              </w:rPr>
            </w:pPr>
            <w:r w:rsidRPr="00F041AD">
              <w:rPr>
                <w:color w:val="333333" w:themeColor="background1"/>
              </w:rPr>
              <w:t>25 percent</w:t>
            </w:r>
          </w:p>
        </w:tc>
        <w:tc>
          <w:tcPr>
            <w:tcW w:w="1278" w:type="dxa"/>
          </w:tcPr>
          <w:p w14:paraId="68AB3FC2" w14:textId="1DAB386C" w:rsidR="00B65A50" w:rsidRPr="00F041AD" w:rsidRDefault="00B65A50" w:rsidP="00726677">
            <w:pPr>
              <w:pStyle w:val="5BodyText"/>
              <w:keepNext/>
              <w:keepLines/>
              <w:rPr>
                <w:color w:val="333333" w:themeColor="background1"/>
              </w:rPr>
            </w:pPr>
            <w:r w:rsidRPr="00F041AD">
              <w:rPr>
                <w:color w:val="333333" w:themeColor="background1"/>
              </w:rPr>
              <w:t>2025</w:t>
            </w:r>
          </w:p>
        </w:tc>
      </w:tr>
    </w:tbl>
    <w:p w14:paraId="6C173C4F" w14:textId="4DB74B54" w:rsidR="00B65A50" w:rsidRPr="00F041AD" w:rsidRDefault="00B65A50" w:rsidP="00726677">
      <w:pPr>
        <w:pStyle w:val="5BodyText"/>
        <w:keepNext/>
        <w:keepLines/>
        <w:rPr>
          <w:color w:val="333333" w:themeColor="background1"/>
          <w:sz w:val="18"/>
        </w:rPr>
      </w:pPr>
      <w:r w:rsidRPr="00F041AD">
        <w:rPr>
          <w:color w:val="333333" w:themeColor="background1"/>
          <w:sz w:val="18"/>
        </w:rPr>
        <w:t>Source: DSIRE</w:t>
      </w:r>
      <w:r w:rsidRPr="00F041AD">
        <w:rPr>
          <w:rStyle w:val="EndnoteReference"/>
          <w:rFonts w:asciiTheme="minorHAnsi" w:hAnsiTheme="minorHAnsi"/>
          <w:b/>
          <w:color w:val="333333" w:themeColor="background1"/>
        </w:rPr>
        <w:endnoteReference w:id="57"/>
      </w:r>
    </w:p>
    <w:p w14:paraId="523464BF" w14:textId="77777777" w:rsidR="00B65A50" w:rsidRPr="00F041AD" w:rsidRDefault="00B65A50" w:rsidP="00DF2CDF">
      <w:pPr>
        <w:pStyle w:val="5BodyText"/>
        <w:rPr>
          <w:color w:val="333333" w:themeColor="background1"/>
        </w:rPr>
      </w:pPr>
    </w:p>
    <w:p w14:paraId="45E2C099" w14:textId="3FC1CAC8" w:rsidR="00B65A50" w:rsidRPr="00F041AD" w:rsidRDefault="00B65A50" w:rsidP="00B42802">
      <w:pPr>
        <w:pStyle w:val="5BodyText"/>
        <w:rPr>
          <w:color w:val="333333" w:themeColor="background1"/>
        </w:rPr>
      </w:pPr>
      <w:r w:rsidRPr="00F041AD">
        <w:rPr>
          <w:color w:val="333333" w:themeColor="background1"/>
        </w:rPr>
        <w:t>Minnesota has also established overall greenhouse gas emission reduction goals. The</w:t>
      </w:r>
      <w:r w:rsidRPr="00F041AD">
        <w:rPr>
          <w:b/>
          <w:color w:val="333333" w:themeColor="background1"/>
        </w:rPr>
        <w:t xml:space="preserve"> Next Generation Energy Act </w:t>
      </w:r>
      <w:r w:rsidRPr="00F041AD">
        <w:rPr>
          <w:color w:val="333333" w:themeColor="background1"/>
        </w:rPr>
        <w:t>of 2007 calls for cutting the state’s greenhouse gas emissions to 15 percent below 2005 base levels by 2015, 30 percent by 2025 and 80 percent by 2050. Based on the latest assessment from Minnesota Pollution Control Agency, Minnesota will not meet these goals without significant additional reduction efforts.</w:t>
      </w:r>
    </w:p>
    <w:p w14:paraId="2703821A" w14:textId="77777777" w:rsidR="00B65A50" w:rsidRPr="00F041AD" w:rsidRDefault="00B65A50" w:rsidP="00B42802">
      <w:pPr>
        <w:pStyle w:val="5BodyText"/>
        <w:rPr>
          <w:color w:val="333333" w:themeColor="background1"/>
        </w:rPr>
      </w:pPr>
    </w:p>
    <w:p w14:paraId="4CA2F517" w14:textId="15DA5104" w:rsidR="00B65A50" w:rsidRPr="00F041AD" w:rsidRDefault="00B65A50" w:rsidP="00B42802">
      <w:pPr>
        <w:pStyle w:val="5BodyText"/>
        <w:rPr>
          <w:color w:val="333333" w:themeColor="background1"/>
        </w:rPr>
      </w:pPr>
      <w:r w:rsidRPr="00F041AD">
        <w:rPr>
          <w:noProof/>
          <w:color w:val="333333" w:themeColor="background1"/>
          <w:lang w:eastAsia="en-US"/>
        </w:rPr>
        <mc:AlternateContent>
          <mc:Choice Requires="wps">
            <w:drawing>
              <wp:anchor distT="0" distB="0" distL="114300" distR="114300" simplePos="0" relativeHeight="251694080" behindDoc="0" locked="0" layoutInCell="1" allowOverlap="1" wp14:anchorId="7362B0DC" wp14:editId="1A634874">
                <wp:simplePos x="0" y="0"/>
                <wp:positionH relativeFrom="column">
                  <wp:posOffset>4283710</wp:posOffset>
                </wp:positionH>
                <wp:positionV relativeFrom="paragraph">
                  <wp:posOffset>457835</wp:posOffset>
                </wp:positionV>
                <wp:extent cx="2057400" cy="291782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057400" cy="29178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77C496" w14:textId="2F9934CE" w:rsidR="006506BB" w:rsidRPr="005757EE" w:rsidRDefault="006506BB" w:rsidP="00A85C71">
                            <w:pPr>
                              <w:pStyle w:val="4Quote"/>
                              <w:rPr>
                                <w:sz w:val="36"/>
                              </w:rPr>
                            </w:pPr>
                            <w:r w:rsidRPr="005757EE">
                              <w:rPr>
                                <w:sz w:val="36"/>
                              </w:rPr>
                              <w:t>Minnesota is one of only 14 states to offer community solar gardens, with 250 MW expected to be developed by the end of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337.3pt;margin-top:36.05pt;width:162pt;height:22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" filled="f" stroked="f">
                <v:textbox>
                  <w:txbxContent>
                    <w:p w14:paraId="1077C496" w14:textId="2F9934CE" w:rsidR="006506BB" w:rsidRPr="005757EE" w:rsidRDefault="006506BB" w:rsidP="00A85C71">
                      <w:pPr>
                        <w:pStyle w:val="4Quote"/>
                        <w:rPr>
                          <w:sz w:val="36"/>
                        </w:rPr>
                      </w:pPr>
                      <w:r w:rsidRPr="005757EE">
                        <w:rPr>
                          <w:sz w:val="36"/>
                        </w:rPr>
                        <w:t>Minnesota is one of only 14 states to offer community solar gardens, with 250 MW expected to be developed by the end of 2016.</w:t>
                      </w:r>
                    </w:p>
                  </w:txbxContent>
                </v:textbox>
                <w10:wrap type="square"/>
              </v:shape>
            </w:pict>
          </mc:Fallback>
        </mc:AlternateContent>
      </w:r>
      <w:r w:rsidRPr="00F041AD">
        <w:rPr>
          <w:color w:val="333333" w:themeColor="background1"/>
        </w:rPr>
        <w:t xml:space="preserve">In terms of cleaner fuels, the </w:t>
      </w:r>
      <w:r w:rsidRPr="00F041AD">
        <w:rPr>
          <w:b/>
          <w:color w:val="333333" w:themeColor="background1"/>
        </w:rPr>
        <w:t>Petroleum Replacement Promotion</w:t>
      </w:r>
      <w:r w:rsidRPr="00F041AD">
        <w:rPr>
          <w:color w:val="333333" w:themeColor="background1"/>
        </w:rPr>
        <w:t xml:space="preserve"> establishes a goal that biofuel comprise an increasing portion of the total gasoline of total gasoline sold or offered for sale in this state by each specified year, reaching at least 30 percent by 2025.</w:t>
      </w:r>
      <w:r w:rsidRPr="00F041AD">
        <w:rPr>
          <w:color w:val="333333" w:themeColor="background1"/>
          <w:vertAlign w:val="superscript"/>
        </w:rPr>
        <w:endnoteReference w:id="58"/>
      </w:r>
      <w:r w:rsidRPr="00F041AD">
        <w:rPr>
          <w:color w:val="333333" w:themeColor="background1"/>
        </w:rPr>
        <w:t xml:space="preserve"> In addition, the </w:t>
      </w:r>
      <w:r w:rsidRPr="00F041AD">
        <w:rPr>
          <w:b/>
          <w:color w:val="333333" w:themeColor="background1"/>
        </w:rPr>
        <w:t xml:space="preserve">Biofuel Content Mandate </w:t>
      </w:r>
      <w:r w:rsidRPr="00F041AD">
        <w:rPr>
          <w:color w:val="333333" w:themeColor="background1"/>
        </w:rPr>
        <w:t>(</w:t>
      </w:r>
      <w:r w:rsidRPr="00F041AD">
        <w:rPr>
          <w:color w:val="333333" w:themeColor="background1"/>
          <w:u w:val="single"/>
        </w:rPr>
        <w:t>M.S. § 239.791)</w:t>
      </w:r>
      <w:r w:rsidRPr="00F041AD">
        <w:rPr>
          <w:b/>
          <w:color w:val="333333" w:themeColor="background1"/>
        </w:rPr>
        <w:t xml:space="preserve"> and the Biodiesel Content Mandate </w:t>
      </w:r>
      <w:r w:rsidRPr="00F041AD">
        <w:rPr>
          <w:color w:val="333333" w:themeColor="background1"/>
        </w:rPr>
        <w:t>(</w:t>
      </w:r>
      <w:r w:rsidRPr="00F041AD">
        <w:rPr>
          <w:color w:val="333333" w:themeColor="background1"/>
          <w:u w:val="single"/>
        </w:rPr>
        <w:t>M.S. § 239.77)</w:t>
      </w:r>
      <w:r w:rsidRPr="00F041AD">
        <w:rPr>
          <w:color w:val="333333" w:themeColor="background1"/>
        </w:rPr>
        <w:t xml:space="preserve"> establish a minimum biofuel content for all gasoline and all diesel fuel sold in the state.</w:t>
      </w:r>
    </w:p>
    <w:p w14:paraId="22A13E70" w14:textId="77777777" w:rsidR="00B65A50" w:rsidRPr="00F041AD" w:rsidRDefault="00B65A50" w:rsidP="00B42802">
      <w:pPr>
        <w:pStyle w:val="5BodyText"/>
        <w:rPr>
          <w:color w:val="333333" w:themeColor="background1"/>
        </w:rPr>
      </w:pPr>
    </w:p>
    <w:p w14:paraId="1EE50251" w14:textId="77777777" w:rsidR="00B65A50" w:rsidRPr="00F041AD" w:rsidRDefault="00B65A50" w:rsidP="00B42802">
      <w:pPr>
        <w:pStyle w:val="5BodyText"/>
        <w:rPr>
          <w:color w:val="333333" w:themeColor="background1"/>
        </w:rPr>
      </w:pPr>
      <w:r w:rsidRPr="00F041AD">
        <w:rPr>
          <w:color w:val="333333" w:themeColor="background1"/>
        </w:rPr>
        <w:t xml:space="preserve">Minnesota has a number of policies and incentives related to renewable energy production and solar production in particular. The </w:t>
      </w:r>
      <w:r w:rsidRPr="00F041AD">
        <w:rPr>
          <w:b/>
          <w:color w:val="333333" w:themeColor="background1"/>
        </w:rPr>
        <w:t xml:space="preserve">Made in Minnesota Solar Incentive Program </w:t>
      </w:r>
      <w:r w:rsidRPr="00F041AD">
        <w:rPr>
          <w:color w:val="333333" w:themeColor="background1"/>
        </w:rPr>
        <w:t>(M.S. 216C.411-.416)</w:t>
      </w:r>
      <w:r w:rsidRPr="00F041AD">
        <w:rPr>
          <w:b/>
          <w:color w:val="333333" w:themeColor="background1"/>
        </w:rPr>
        <w:t xml:space="preserve"> </w:t>
      </w:r>
      <w:r w:rsidRPr="00F041AD">
        <w:rPr>
          <w:color w:val="333333" w:themeColor="background1"/>
        </w:rPr>
        <w:t>offers $15 million per year for incentives for Minnesota-made solar PV and solar thermal.</w:t>
      </w:r>
      <w:r w:rsidRPr="00F041AD">
        <w:rPr>
          <w:color w:val="333333" w:themeColor="background1"/>
          <w:vertAlign w:val="superscript"/>
        </w:rPr>
        <w:endnoteReference w:id="59"/>
      </w:r>
      <w:r w:rsidRPr="00F041AD">
        <w:rPr>
          <w:color w:val="333333" w:themeColor="background1"/>
        </w:rPr>
        <w:t xml:space="preserve"> Xcel Energy also offers a </w:t>
      </w:r>
      <w:r w:rsidRPr="00F041AD">
        <w:rPr>
          <w:b/>
          <w:color w:val="333333" w:themeColor="background1"/>
        </w:rPr>
        <w:t xml:space="preserve">Solar Production Based Incentive (Xcel Energy) </w:t>
      </w:r>
      <w:r w:rsidRPr="00F041AD">
        <w:rPr>
          <w:color w:val="333333" w:themeColor="background1"/>
        </w:rPr>
        <w:t>of $5 million per year in performance-based incentives for solar installations.</w:t>
      </w:r>
    </w:p>
    <w:p w14:paraId="529696AC" w14:textId="77777777" w:rsidR="00B65A50" w:rsidRPr="00F041AD" w:rsidRDefault="00B65A50" w:rsidP="00B42802">
      <w:pPr>
        <w:pStyle w:val="5BodyText"/>
        <w:rPr>
          <w:color w:val="333333" w:themeColor="background1"/>
        </w:rPr>
      </w:pPr>
    </w:p>
    <w:p w14:paraId="761F15A1" w14:textId="06527631" w:rsidR="00B65A50" w:rsidRPr="00F041AD" w:rsidRDefault="00B65A50" w:rsidP="00B42802">
      <w:pPr>
        <w:pStyle w:val="5BodyText"/>
        <w:rPr>
          <w:color w:val="333333" w:themeColor="background1"/>
        </w:rPr>
      </w:pPr>
      <w:r w:rsidRPr="00F041AD">
        <w:rPr>
          <w:color w:val="333333" w:themeColor="background1"/>
        </w:rPr>
        <w:t xml:space="preserve">In 2013, Minnesota became one of only 14 states and the District of Columbia to offer community solar to utility customers. The state-mandated </w:t>
      </w:r>
      <w:r w:rsidRPr="00F041AD">
        <w:rPr>
          <w:b/>
          <w:color w:val="333333" w:themeColor="background1"/>
        </w:rPr>
        <w:t xml:space="preserve">community solar </w:t>
      </w:r>
      <w:r w:rsidRPr="00F041AD">
        <w:rPr>
          <w:color w:val="333333" w:themeColor="background1"/>
        </w:rPr>
        <w:t>program</w:t>
      </w:r>
      <w:r w:rsidRPr="00F041AD">
        <w:rPr>
          <w:b/>
          <w:color w:val="333333" w:themeColor="background1"/>
        </w:rPr>
        <w:t xml:space="preserve"> </w:t>
      </w:r>
      <w:r w:rsidRPr="00F041AD">
        <w:rPr>
          <w:color w:val="333333" w:themeColor="background1"/>
        </w:rPr>
        <w:t>(M.S. 216B.1641) allows customers to access clean energy without putting solar panels on their roofs; customers simply subscribe to a community solar installation. Xcel Energy is required by this law to offer a community solar program; 17 additional utilities voluntarily offer community solar.</w:t>
      </w:r>
      <w:r w:rsidRPr="00F041AD">
        <w:rPr>
          <w:color w:val="333333" w:themeColor="background1"/>
          <w:vertAlign w:val="superscript"/>
        </w:rPr>
        <w:endnoteReference w:id="60"/>
      </w:r>
      <w:r w:rsidRPr="00F041AD">
        <w:rPr>
          <w:color w:val="333333" w:themeColor="background1"/>
        </w:rPr>
        <w:t xml:space="preserve"> There is no cap on the number or total capacity of community solar gardens in Xcel’s program, and the utility expects that 250 MW or more of</w:t>
      </w:r>
      <w:r w:rsidRPr="00F041AD">
        <w:rPr>
          <w:rFonts w:asciiTheme="minorHAnsi" w:eastAsia="Cambria" w:hAnsiTheme="minorHAnsi" w:cs="Cambria"/>
          <w:color w:val="333333" w:themeColor="background1"/>
          <w:sz w:val="24"/>
          <w:lang w:eastAsia="en-US"/>
        </w:rPr>
        <w:t xml:space="preserve"> </w:t>
      </w:r>
      <w:r w:rsidRPr="00F041AD">
        <w:rPr>
          <w:color w:val="333333" w:themeColor="background1"/>
        </w:rPr>
        <w:t>over 900 MW of applications for community solar will be developed by the end of 2016.</w:t>
      </w:r>
      <w:r w:rsidRPr="00F041AD">
        <w:rPr>
          <w:color w:val="333333" w:themeColor="background1"/>
          <w:vertAlign w:val="superscript"/>
        </w:rPr>
        <w:endnoteReference w:id="61"/>
      </w:r>
      <w:r w:rsidRPr="00F041AD">
        <w:rPr>
          <w:color w:val="333333" w:themeColor="background1"/>
        </w:rPr>
        <w:t xml:space="preserve"> </w:t>
      </w:r>
      <w:r w:rsidRPr="00F041AD">
        <w:rPr>
          <w:color w:val="333333" w:themeColor="background1"/>
          <w:vertAlign w:val="superscript"/>
        </w:rPr>
        <w:endnoteReference w:id="62"/>
      </w:r>
    </w:p>
    <w:p w14:paraId="6C8CE548" w14:textId="77777777" w:rsidR="00B65A50" w:rsidRPr="00F041AD" w:rsidRDefault="00B65A50" w:rsidP="00B42802">
      <w:pPr>
        <w:pStyle w:val="5BodyText"/>
        <w:rPr>
          <w:color w:val="333333" w:themeColor="background1"/>
        </w:rPr>
      </w:pPr>
    </w:p>
    <w:p w14:paraId="1604233E" w14:textId="77777777" w:rsidR="00B65A50" w:rsidRPr="00F041AD" w:rsidRDefault="00B65A50" w:rsidP="00617548">
      <w:pPr>
        <w:pStyle w:val="5BodyText"/>
        <w:rPr>
          <w:color w:val="333333" w:themeColor="background1"/>
        </w:rPr>
      </w:pPr>
      <w:r w:rsidRPr="00F041AD">
        <w:rPr>
          <w:color w:val="333333" w:themeColor="background1"/>
        </w:rPr>
        <w:lastRenderedPageBreak/>
        <w:t xml:space="preserve">In 2014, Minnesota became the first state to adopt a </w:t>
      </w:r>
      <w:r w:rsidRPr="00F041AD">
        <w:rPr>
          <w:b/>
          <w:color w:val="333333" w:themeColor="background1"/>
        </w:rPr>
        <w:t>Value of Solar Tariff methodology</w:t>
      </w:r>
      <w:r w:rsidRPr="00F041AD">
        <w:rPr>
          <w:color w:val="333333" w:themeColor="background1"/>
        </w:rPr>
        <w:t xml:space="preserve">, a rate-design policy that gives customers with solar installations credit for the energy their PV systems produce. Unlike net metering, under the value of solar tariff (VOST), customers are not compensated for solar PV production at the standard retail rate. The VOST includes factors such as generation and transmission capacity, capacity, transmission and distribution line losses, and environmental value. To date, no utilities in Minnesota have opted for the VOST in lieu of net metering. </w:t>
      </w:r>
    </w:p>
    <w:p w14:paraId="7444FF54" w14:textId="77777777" w:rsidR="00B65A50" w:rsidRPr="00F041AD" w:rsidRDefault="00B65A50" w:rsidP="00B42802">
      <w:pPr>
        <w:pStyle w:val="5BodyText"/>
        <w:rPr>
          <w:color w:val="333333" w:themeColor="background1"/>
        </w:rPr>
      </w:pPr>
    </w:p>
    <w:p w14:paraId="6667D254" w14:textId="77777777" w:rsidR="00B65A50" w:rsidRPr="00F041AD" w:rsidRDefault="00B65A50" w:rsidP="00617548">
      <w:pPr>
        <w:pStyle w:val="5BodyText"/>
        <w:rPr>
          <w:color w:val="333333" w:themeColor="background1"/>
        </w:rPr>
      </w:pPr>
      <w:r w:rsidRPr="00F041AD">
        <w:rPr>
          <w:color w:val="333333" w:themeColor="background1"/>
        </w:rPr>
        <w:t>Several additional initiatives are addressing the changing energy landscape and utility regulation in Minnesota:</w:t>
      </w:r>
    </w:p>
    <w:p w14:paraId="37FCE045" w14:textId="77777777" w:rsidR="00B65A50" w:rsidRPr="00F041AD" w:rsidRDefault="00B65A50" w:rsidP="00617548">
      <w:pPr>
        <w:pStyle w:val="5BodyText"/>
        <w:numPr>
          <w:ilvl w:val="0"/>
          <w:numId w:val="20"/>
        </w:numPr>
        <w:rPr>
          <w:color w:val="333333" w:themeColor="background1"/>
        </w:rPr>
      </w:pPr>
      <w:r w:rsidRPr="00F041AD">
        <w:rPr>
          <w:color w:val="333333" w:themeColor="background1"/>
        </w:rPr>
        <w:t xml:space="preserve">The </w:t>
      </w:r>
      <w:r w:rsidRPr="00F041AD">
        <w:rPr>
          <w:b/>
          <w:color w:val="333333" w:themeColor="background1"/>
        </w:rPr>
        <w:t>e21 Initiative</w:t>
      </w:r>
      <w:r w:rsidRPr="00F041AD">
        <w:rPr>
          <w:color w:val="333333" w:themeColor="background1"/>
        </w:rPr>
        <w:t xml:space="preserve"> aims to develop a more customer-centric and sustainable framework for utility regulation, better aligning utility revenue with public policy goals, changing customer expectations, and the changing technology landscape. Convened by Great Plains Institute, Center for Energy and Environment, Energy Systems Consulting Services, George Washington University Law School, Xcel Energy, and Minnesota Power, e21 is in its second phase and is gaining national attention.</w:t>
      </w:r>
      <w:r w:rsidRPr="00F041AD">
        <w:rPr>
          <w:rStyle w:val="EndnoteReference"/>
          <w:rFonts w:asciiTheme="minorHAnsi" w:hAnsiTheme="minorHAnsi"/>
          <w:color w:val="333333" w:themeColor="background1"/>
        </w:rPr>
        <w:endnoteReference w:id="63"/>
      </w:r>
      <w:r w:rsidRPr="00F041AD">
        <w:rPr>
          <w:color w:val="333333" w:themeColor="background1"/>
        </w:rPr>
        <w:t xml:space="preserve"> </w:t>
      </w:r>
    </w:p>
    <w:p w14:paraId="7B34854A" w14:textId="77777777" w:rsidR="00B65A50" w:rsidRPr="00F041AD" w:rsidRDefault="00B65A50" w:rsidP="00617548">
      <w:pPr>
        <w:pStyle w:val="5BodyText"/>
        <w:numPr>
          <w:ilvl w:val="0"/>
          <w:numId w:val="20"/>
        </w:numPr>
        <w:rPr>
          <w:color w:val="333333" w:themeColor="background1"/>
        </w:rPr>
      </w:pPr>
      <w:r w:rsidRPr="00F041AD">
        <w:rPr>
          <w:color w:val="333333" w:themeColor="background1"/>
        </w:rPr>
        <w:t xml:space="preserve">The Minnesota Public Utilities Commission </w:t>
      </w:r>
      <w:r w:rsidRPr="00F041AD">
        <w:rPr>
          <w:b/>
          <w:color w:val="333333" w:themeColor="background1"/>
        </w:rPr>
        <w:t>Grid Modernization Proceeding</w:t>
      </w:r>
      <w:r w:rsidRPr="00F041AD">
        <w:rPr>
          <w:color w:val="333333" w:themeColor="background1"/>
          <w:vertAlign w:val="superscript"/>
        </w:rPr>
        <w:endnoteReference w:id="64"/>
      </w:r>
      <w:r w:rsidRPr="00F041AD">
        <w:rPr>
          <w:b/>
          <w:color w:val="333333" w:themeColor="background1"/>
        </w:rPr>
        <w:t xml:space="preserve"> </w:t>
      </w:r>
      <w:r w:rsidRPr="00F041AD">
        <w:rPr>
          <w:color w:val="333333" w:themeColor="background1"/>
        </w:rPr>
        <w:t xml:space="preserve">is addressing the need for an integrated, dynamic, and efficient grid, with an emphasis on distribution planning. </w:t>
      </w:r>
    </w:p>
    <w:p w14:paraId="28EA5A00" w14:textId="77777777" w:rsidR="00B65A50" w:rsidRPr="00F041AD" w:rsidRDefault="00B65A50" w:rsidP="00617548">
      <w:pPr>
        <w:pStyle w:val="5BodyText"/>
        <w:numPr>
          <w:ilvl w:val="0"/>
          <w:numId w:val="20"/>
        </w:numPr>
        <w:rPr>
          <w:color w:val="333333" w:themeColor="background1"/>
        </w:rPr>
      </w:pPr>
      <w:r w:rsidRPr="00F041AD">
        <w:rPr>
          <w:color w:val="333333" w:themeColor="background1"/>
        </w:rPr>
        <w:t xml:space="preserve">The Minnesota Department of Commerce directed the </w:t>
      </w:r>
      <w:r w:rsidRPr="00F041AD">
        <w:rPr>
          <w:b/>
          <w:color w:val="333333" w:themeColor="background1"/>
        </w:rPr>
        <w:t>Minnesota Renewable Energy Integration and Transmission Study (MRITS)</w:t>
      </w:r>
      <w:r w:rsidRPr="00F041AD">
        <w:rPr>
          <w:color w:val="333333" w:themeColor="background1"/>
          <w:vertAlign w:val="superscript"/>
        </w:rPr>
        <w:endnoteReference w:id="65"/>
      </w:r>
      <w:r w:rsidRPr="00F041AD">
        <w:rPr>
          <w:color w:val="333333" w:themeColor="background1"/>
        </w:rPr>
        <w:t>, which focused on the reliability impacts and associated transmission costs of increased levels of wind and solar generation and found that the addition of wind and solar (variable renewable) generation to supply 40 percent of Minnesota’s annual electric retail sales can be reliably accommodated by the electric power system with modest infrastructure investment.</w:t>
      </w:r>
    </w:p>
    <w:p w14:paraId="1A82497E" w14:textId="77777777" w:rsidR="00B65A50" w:rsidRPr="00F041AD" w:rsidRDefault="00B65A50" w:rsidP="00617548">
      <w:pPr>
        <w:pStyle w:val="5BodyText"/>
        <w:ind w:left="720"/>
        <w:rPr>
          <w:color w:val="333333" w:themeColor="background1"/>
        </w:rPr>
      </w:pPr>
    </w:p>
    <w:p w14:paraId="218DB6D4" w14:textId="77777777" w:rsidR="00B65A50" w:rsidRPr="00F041AD" w:rsidRDefault="00B65A50" w:rsidP="00B42802">
      <w:pPr>
        <w:pStyle w:val="5BodyText"/>
        <w:rPr>
          <w:color w:val="333333" w:themeColor="background1"/>
        </w:rPr>
      </w:pPr>
    </w:p>
    <w:p w14:paraId="20573781" w14:textId="3754E017" w:rsidR="00B65A50" w:rsidRPr="00F041AD" w:rsidRDefault="00B65A50" w:rsidP="002248DE">
      <w:pPr>
        <w:pStyle w:val="7Caption"/>
        <w:rPr>
          <w:color w:val="333333" w:themeColor="background1"/>
        </w:rPr>
      </w:pPr>
      <w:bookmarkStart w:id="92" w:name="_Toc322958519"/>
      <w:r w:rsidRPr="00F041AD">
        <w:rPr>
          <w:color w:val="333333" w:themeColor="background1"/>
        </w:rPr>
        <w:lastRenderedPageBreak/>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10</w:t>
      </w:r>
      <w:r w:rsidR="0010025D" w:rsidRPr="00F041AD">
        <w:rPr>
          <w:noProof/>
          <w:color w:val="333333" w:themeColor="background1"/>
        </w:rPr>
        <w:fldChar w:fldCharType="end"/>
      </w:r>
      <w:r w:rsidRPr="00F041AD">
        <w:rPr>
          <w:color w:val="333333" w:themeColor="background1"/>
        </w:rPr>
        <w:t>: Map of Minnesota utility territories offering community solar, as of March 2016</w:t>
      </w:r>
      <w:bookmarkEnd w:id="92"/>
    </w:p>
    <w:p w14:paraId="4E259EA2" w14:textId="6C62A919" w:rsidR="00B65A50" w:rsidRPr="00F041AD" w:rsidRDefault="00B65A50" w:rsidP="002248DE">
      <w:pPr>
        <w:pStyle w:val="5BodyText"/>
        <w:rPr>
          <w:color w:val="333333" w:themeColor="background1"/>
        </w:rPr>
      </w:pPr>
      <w:r w:rsidRPr="00F041AD">
        <w:rPr>
          <w:rFonts w:asciiTheme="minorHAnsi" w:hAnsiTheme="minorHAnsi"/>
          <w:noProof/>
          <w:color w:val="333333" w:themeColor="background1"/>
          <w:lang w:eastAsia="en-US"/>
        </w:rPr>
        <w:drawing>
          <wp:inline distT="0" distB="0" distL="0" distR="0" wp14:anchorId="1FFE0711" wp14:editId="6F4D8396">
            <wp:extent cx="4166235" cy="3619522"/>
            <wp:effectExtent l="0" t="0" r="0" b="1270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6356" cy="3619627"/>
                    </a:xfrm>
                    <a:prstGeom prst="rect">
                      <a:avLst/>
                    </a:prstGeom>
                    <a:noFill/>
                    <a:ln>
                      <a:noFill/>
                    </a:ln>
                  </pic:spPr>
                </pic:pic>
              </a:graphicData>
            </a:graphic>
          </wp:inline>
        </w:drawing>
      </w:r>
    </w:p>
    <w:p w14:paraId="0BBE1273" w14:textId="15D66A1F" w:rsidR="00B65A50" w:rsidRPr="00F041AD" w:rsidRDefault="00B65A50" w:rsidP="002248DE">
      <w:pPr>
        <w:pStyle w:val="5BodyText"/>
        <w:rPr>
          <w:color w:val="333333" w:themeColor="background1"/>
          <w:sz w:val="18"/>
        </w:rPr>
      </w:pPr>
      <w:r w:rsidRPr="00F041AD">
        <w:rPr>
          <w:color w:val="333333" w:themeColor="background1"/>
          <w:sz w:val="18"/>
        </w:rPr>
        <w:t>Source: Clean Energy Resource Teams</w:t>
      </w:r>
    </w:p>
    <w:p w14:paraId="3F09C1C3" w14:textId="77777777" w:rsidR="00B65A50" w:rsidRPr="00F041AD" w:rsidRDefault="00B65A50" w:rsidP="00DF2CDF">
      <w:pPr>
        <w:pStyle w:val="5BodyText"/>
        <w:rPr>
          <w:color w:val="333333" w:themeColor="background1"/>
        </w:rPr>
      </w:pPr>
    </w:p>
    <w:p w14:paraId="7A91A5FF" w14:textId="77777777" w:rsidR="00B65A50" w:rsidRPr="00F041AD" w:rsidRDefault="00B65A50" w:rsidP="007F3F44">
      <w:pPr>
        <w:pStyle w:val="6BodyHighlight"/>
        <w:rPr>
          <w:color w:val="333333" w:themeColor="background1"/>
        </w:rPr>
      </w:pPr>
      <w:bookmarkStart w:id="93" w:name="_Toc322961614"/>
      <w:r w:rsidRPr="00F041AD">
        <w:rPr>
          <w:color w:val="333333" w:themeColor="background1"/>
        </w:rPr>
        <w:t>Looking ahead</w:t>
      </w:r>
      <w:bookmarkEnd w:id="93"/>
    </w:p>
    <w:p w14:paraId="409A1E8C" w14:textId="619F2BE3" w:rsidR="00B65A50" w:rsidRPr="00F041AD" w:rsidRDefault="00B65A50" w:rsidP="00357F26">
      <w:pPr>
        <w:pStyle w:val="5BodyText"/>
        <w:rPr>
          <w:color w:val="333333" w:themeColor="background1"/>
        </w:rPr>
      </w:pPr>
      <w:r w:rsidRPr="00F041AD">
        <w:rPr>
          <w:color w:val="333333" w:themeColor="background1"/>
        </w:rPr>
        <w:t>Minnesota’s energy landscape is certainly changing, due to national and state policies, changing customer preferences, and technology development. Recent developments, such as Xcel Energy’s proposal to close two large coal units early, illustrate a changing energy paradigm. Due to acceleration in technical innovation and expanding influence of world energy markets the number of variables facing the energy industry has increased dramatically over recent years. The Climate Solutions and Economic Opportunities (CSEO) initiative, an interagency collaboration led by the Environmental Initiative, demonstrates a range of possible scenarios for Minnesota’s energy future. CSEO’s modeling illustrates that Minnesota may fall short of meeting core state energy policy goals, but a number of additional pathways to achieve greenhouse gas reductions exist.</w:t>
      </w:r>
    </w:p>
    <w:p w14:paraId="676E372B" w14:textId="77777777" w:rsidR="00B65A50" w:rsidRPr="00F041AD" w:rsidRDefault="00B65A50" w:rsidP="00357F26">
      <w:pPr>
        <w:pStyle w:val="5BodyText"/>
        <w:rPr>
          <w:color w:val="333333" w:themeColor="background1"/>
        </w:rPr>
      </w:pPr>
    </w:p>
    <w:p w14:paraId="016FE649" w14:textId="4B1DE6E6" w:rsidR="00B65A50" w:rsidRPr="00F041AD" w:rsidRDefault="00B65A50" w:rsidP="007F3F44">
      <w:pPr>
        <w:pStyle w:val="6BodyHighlight"/>
        <w:rPr>
          <w:color w:val="333333" w:themeColor="background1"/>
        </w:rPr>
      </w:pPr>
      <w:bookmarkStart w:id="94" w:name="_Toc322961615"/>
      <w:r w:rsidRPr="00F041AD">
        <w:rPr>
          <w:color w:val="333333" w:themeColor="background1"/>
        </w:rPr>
        <w:t>Opportunities for further progress</w:t>
      </w:r>
      <w:bookmarkEnd w:id="94"/>
    </w:p>
    <w:p w14:paraId="35FF2DF9" w14:textId="77777777" w:rsidR="00B65A50" w:rsidRPr="00F041AD" w:rsidRDefault="00B65A50" w:rsidP="002E720D">
      <w:pPr>
        <w:pStyle w:val="5BodyText"/>
        <w:rPr>
          <w:color w:val="333333" w:themeColor="background1"/>
        </w:rPr>
      </w:pPr>
      <w:r w:rsidRPr="00F041AD">
        <w:rPr>
          <w:color w:val="333333" w:themeColor="background1"/>
        </w:rPr>
        <w:t>While Minnesota has made great progress towards meeting its energy goals, there is opportunity for further progress. The stakeholder engagement process that drove the creation of this Energy Action Plan led to the identification of many strategies with the potential to significantly advance clean energy and leverage opportunities for a clean, affordable, reliable, and resilient energy system.</w:t>
      </w:r>
    </w:p>
    <w:p w14:paraId="19937D74" w14:textId="77777777" w:rsidR="00B65A50" w:rsidRPr="00F041AD" w:rsidRDefault="00B65A50" w:rsidP="002E720D">
      <w:pPr>
        <w:pStyle w:val="5BodyText"/>
        <w:rPr>
          <w:color w:val="333333" w:themeColor="background1"/>
        </w:rPr>
      </w:pPr>
    </w:p>
    <w:p w14:paraId="4A40965E" w14:textId="77777777" w:rsidR="00B65A50" w:rsidRPr="00F041AD" w:rsidRDefault="00B65A50" w:rsidP="002E720D">
      <w:pPr>
        <w:pStyle w:val="5BodyText"/>
        <w:rPr>
          <w:color w:val="333333" w:themeColor="background1"/>
        </w:rPr>
      </w:pPr>
      <w:r w:rsidRPr="00F041AD">
        <w:rPr>
          <w:color w:val="333333" w:themeColor="background1"/>
        </w:rPr>
        <w:t>To highlight pathways for making progress towards these goals, this action plan outlines strategies in five general categories:</w:t>
      </w:r>
    </w:p>
    <w:p w14:paraId="2AD57C13" w14:textId="170CD752" w:rsidR="00B65A50" w:rsidRPr="00F041AD" w:rsidRDefault="00B65A50" w:rsidP="001D1907">
      <w:pPr>
        <w:pStyle w:val="5BodyText"/>
        <w:numPr>
          <w:ilvl w:val="0"/>
          <w:numId w:val="21"/>
        </w:numPr>
        <w:rPr>
          <w:color w:val="333333" w:themeColor="background1"/>
        </w:rPr>
      </w:pPr>
      <w:r w:rsidRPr="00F041AD">
        <w:rPr>
          <w:color w:val="333333" w:themeColor="background1"/>
        </w:rPr>
        <w:lastRenderedPageBreak/>
        <w:t>Transportation;</w:t>
      </w:r>
    </w:p>
    <w:p w14:paraId="5B05BC44" w14:textId="287138E2" w:rsidR="00B65A50" w:rsidRPr="00F041AD" w:rsidRDefault="00B65A50" w:rsidP="001D1907">
      <w:pPr>
        <w:pStyle w:val="5BodyText"/>
        <w:numPr>
          <w:ilvl w:val="0"/>
          <w:numId w:val="21"/>
        </w:numPr>
        <w:rPr>
          <w:color w:val="333333" w:themeColor="background1"/>
        </w:rPr>
      </w:pPr>
      <w:r w:rsidRPr="00F041AD">
        <w:rPr>
          <w:color w:val="333333" w:themeColor="background1"/>
        </w:rPr>
        <w:t>Energy supply and grid modernization;</w:t>
      </w:r>
    </w:p>
    <w:p w14:paraId="061474F8" w14:textId="04C4F973" w:rsidR="00B65A50" w:rsidRPr="00F041AD" w:rsidRDefault="00B65A50" w:rsidP="001D1907">
      <w:pPr>
        <w:pStyle w:val="5BodyText"/>
        <w:numPr>
          <w:ilvl w:val="0"/>
          <w:numId w:val="21"/>
        </w:numPr>
        <w:rPr>
          <w:color w:val="333333" w:themeColor="background1"/>
        </w:rPr>
      </w:pPr>
      <w:r w:rsidRPr="00F041AD">
        <w:rPr>
          <w:color w:val="333333" w:themeColor="background1"/>
        </w:rPr>
        <w:t>Efficient buildings and thermal energy;</w:t>
      </w:r>
    </w:p>
    <w:p w14:paraId="59D7EFA9" w14:textId="613F8628" w:rsidR="00B65A50" w:rsidRPr="00F041AD" w:rsidRDefault="00B65A50" w:rsidP="001D1907">
      <w:pPr>
        <w:pStyle w:val="5BodyText"/>
        <w:numPr>
          <w:ilvl w:val="0"/>
          <w:numId w:val="21"/>
        </w:numPr>
        <w:rPr>
          <w:color w:val="333333" w:themeColor="background1"/>
        </w:rPr>
      </w:pPr>
      <w:r w:rsidRPr="00F041AD">
        <w:rPr>
          <w:color w:val="333333" w:themeColor="background1"/>
        </w:rPr>
        <w:t>Industr</w:t>
      </w:r>
      <w:r w:rsidR="00C32BE8">
        <w:rPr>
          <w:color w:val="333333" w:themeColor="background1"/>
        </w:rPr>
        <w:t>ial</w:t>
      </w:r>
      <w:r w:rsidRPr="00F041AD">
        <w:rPr>
          <w:color w:val="333333" w:themeColor="background1"/>
        </w:rPr>
        <w:t xml:space="preserve"> and agricultur</w:t>
      </w:r>
      <w:r w:rsidR="00C32BE8">
        <w:rPr>
          <w:color w:val="333333" w:themeColor="background1"/>
        </w:rPr>
        <w:t>al sectors</w:t>
      </w:r>
      <w:r w:rsidRPr="00F041AD">
        <w:rPr>
          <w:color w:val="333333" w:themeColor="background1"/>
        </w:rPr>
        <w:t xml:space="preserve">; and </w:t>
      </w:r>
    </w:p>
    <w:p w14:paraId="4C120E9F" w14:textId="537C1A11" w:rsidR="00B65A50" w:rsidRPr="00F041AD" w:rsidRDefault="00B65A50" w:rsidP="001D1907">
      <w:pPr>
        <w:pStyle w:val="5BodyText"/>
        <w:numPr>
          <w:ilvl w:val="0"/>
          <w:numId w:val="21"/>
        </w:numPr>
        <w:rPr>
          <w:color w:val="333333" w:themeColor="background1"/>
        </w:rPr>
      </w:pPr>
      <w:r w:rsidRPr="00F041AD">
        <w:rPr>
          <w:color w:val="333333" w:themeColor="background1"/>
        </w:rPr>
        <w:t>Local planning and action.</w:t>
      </w:r>
    </w:p>
    <w:p w14:paraId="6BC7B6A3" w14:textId="77777777" w:rsidR="00B65A50" w:rsidRPr="00F041AD" w:rsidRDefault="00B65A50" w:rsidP="002E720D">
      <w:pPr>
        <w:pStyle w:val="5BodyText"/>
        <w:rPr>
          <w:color w:val="333333" w:themeColor="background1"/>
        </w:rPr>
      </w:pPr>
    </w:p>
    <w:p w14:paraId="3CE227CE" w14:textId="67B672FD" w:rsidR="00B65A50" w:rsidRPr="00F041AD" w:rsidRDefault="00B65A50" w:rsidP="002E720D">
      <w:pPr>
        <w:pStyle w:val="5BodyText"/>
        <w:rPr>
          <w:color w:val="333333" w:themeColor="background1"/>
        </w:rPr>
      </w:pPr>
      <w:r w:rsidRPr="00F041AD">
        <w:rPr>
          <w:color w:val="333333" w:themeColor="background1"/>
        </w:rPr>
        <w:t>Four of these categories represent discrete energy-intensive sectors of the Minnesota economy. Action in these sectors is possible at both the state and local levels, and strategies discussed in these sections highlight roles for a wide range of actors. The fifth section is focused on the specific ways in which local jurisdictions (cities and communities) and tribal nations can take meaningful action.</w:t>
      </w:r>
    </w:p>
    <w:p w14:paraId="7396C85E" w14:textId="77777777" w:rsidR="00B65A50" w:rsidRPr="00F041AD" w:rsidRDefault="00B65A50" w:rsidP="00DF2CDF">
      <w:pPr>
        <w:pStyle w:val="5BodyText"/>
        <w:rPr>
          <w:color w:val="333333" w:themeColor="background1"/>
        </w:rPr>
      </w:pPr>
    </w:p>
    <w:p w14:paraId="4E9E3330" w14:textId="22E07627" w:rsidR="00B65A50" w:rsidRPr="00F041AD" w:rsidRDefault="00B65A50" w:rsidP="007F3F44">
      <w:pPr>
        <w:pStyle w:val="6BodyHighlight"/>
        <w:rPr>
          <w:color w:val="333333" w:themeColor="background1"/>
        </w:rPr>
      </w:pPr>
      <w:bookmarkStart w:id="95" w:name="_Toc322961616"/>
      <w:r w:rsidRPr="00F041AD">
        <w:rPr>
          <w:color w:val="333333" w:themeColor="background1"/>
        </w:rPr>
        <w:t>Guidelines to strategy structure</w:t>
      </w:r>
      <w:bookmarkEnd w:id="95"/>
    </w:p>
    <w:p w14:paraId="2F0F7F2B" w14:textId="77777777" w:rsidR="00B65A50" w:rsidRPr="00F041AD" w:rsidRDefault="00B65A50" w:rsidP="00A45F9D">
      <w:pPr>
        <w:pStyle w:val="5BodyText"/>
        <w:rPr>
          <w:color w:val="333333" w:themeColor="background1"/>
        </w:rPr>
      </w:pPr>
      <w:r w:rsidRPr="00F041AD">
        <w:rPr>
          <w:color w:val="333333" w:themeColor="background1"/>
        </w:rPr>
        <w:t xml:space="preserve">Each of the five chapters of this Energy Action Plan contains a number of distinct </w:t>
      </w:r>
      <w:r w:rsidRPr="00F041AD">
        <w:rPr>
          <w:b/>
          <w:color w:val="333333" w:themeColor="background1"/>
        </w:rPr>
        <w:t>Strategies</w:t>
      </w:r>
      <w:r w:rsidRPr="00F041AD">
        <w:rPr>
          <w:color w:val="333333" w:themeColor="background1"/>
        </w:rPr>
        <w:t>. Each strategy, while consisting of a number of specific recommendations, is, as a whole, meant to address a specific near-term opportunity for Minnesota to make further progress in meeting its clean energy goals. The strategies included in this document are recognized as having high potential for impact and near-term opportunities for action.</w:t>
      </w:r>
    </w:p>
    <w:p w14:paraId="008E72D9" w14:textId="77777777" w:rsidR="00B65A50" w:rsidRPr="00F041AD" w:rsidRDefault="00B65A50" w:rsidP="00A45F9D">
      <w:pPr>
        <w:pStyle w:val="5BodyText"/>
        <w:rPr>
          <w:color w:val="333333" w:themeColor="background1"/>
        </w:rPr>
      </w:pPr>
    </w:p>
    <w:p w14:paraId="73D89EF8" w14:textId="77777777" w:rsidR="00B65A50" w:rsidRPr="00F041AD" w:rsidRDefault="00B65A50" w:rsidP="00A45F9D">
      <w:pPr>
        <w:pStyle w:val="5BodyText"/>
        <w:rPr>
          <w:color w:val="333333" w:themeColor="background1"/>
        </w:rPr>
      </w:pPr>
      <w:r w:rsidRPr="00F041AD">
        <w:rPr>
          <w:color w:val="333333" w:themeColor="background1"/>
        </w:rPr>
        <w:t xml:space="preserve">Each strategy includes a collection of </w:t>
      </w:r>
      <w:r w:rsidRPr="00F041AD">
        <w:rPr>
          <w:b/>
          <w:color w:val="333333" w:themeColor="background1"/>
        </w:rPr>
        <w:t xml:space="preserve">Actions, </w:t>
      </w:r>
      <w:r w:rsidRPr="00F041AD">
        <w:rPr>
          <w:color w:val="333333" w:themeColor="background1"/>
        </w:rPr>
        <w:t xml:space="preserve">discrete recommendations that together will lead to the strategy’s success. These are concrete steps, each with identified </w:t>
      </w:r>
      <w:r w:rsidRPr="00F041AD">
        <w:rPr>
          <w:b/>
          <w:color w:val="333333" w:themeColor="background1"/>
        </w:rPr>
        <w:t xml:space="preserve">Champions </w:t>
      </w:r>
      <w:r w:rsidRPr="00F041AD">
        <w:rPr>
          <w:color w:val="333333" w:themeColor="background1"/>
        </w:rPr>
        <w:t xml:space="preserve">and/or </w:t>
      </w:r>
      <w:r w:rsidRPr="00F041AD">
        <w:rPr>
          <w:b/>
          <w:color w:val="333333" w:themeColor="background1"/>
        </w:rPr>
        <w:t>Key Participants</w:t>
      </w:r>
      <w:r w:rsidRPr="00F041AD">
        <w:rPr>
          <w:color w:val="333333" w:themeColor="background1"/>
        </w:rPr>
        <w:t>, that can be undertaken in the near term and whose progress can be measured. Champions are those that can drive the actions to successful completion, while key participants are those that are necessary to engage in the process but may not play the primary leadership role.</w:t>
      </w:r>
    </w:p>
    <w:p w14:paraId="58579820" w14:textId="77777777" w:rsidR="00B65A50" w:rsidRPr="00F041AD" w:rsidRDefault="00B65A50" w:rsidP="00A45F9D">
      <w:pPr>
        <w:pStyle w:val="5BodyText"/>
        <w:rPr>
          <w:color w:val="333333" w:themeColor="background1"/>
        </w:rPr>
      </w:pPr>
    </w:p>
    <w:p w14:paraId="3373F358" w14:textId="77777777" w:rsidR="00B65A50" w:rsidRPr="00F041AD" w:rsidRDefault="00B65A50" w:rsidP="00A45F9D">
      <w:pPr>
        <w:pStyle w:val="5BodyText"/>
        <w:rPr>
          <w:color w:val="333333" w:themeColor="background1"/>
        </w:rPr>
      </w:pPr>
      <w:r w:rsidRPr="00F041AD">
        <w:rPr>
          <w:color w:val="333333" w:themeColor="background1"/>
        </w:rPr>
        <w:t xml:space="preserve">Each strategy also notes a number of </w:t>
      </w:r>
      <w:r w:rsidRPr="00F041AD">
        <w:rPr>
          <w:b/>
          <w:color w:val="333333" w:themeColor="background1"/>
        </w:rPr>
        <w:t>Success Factors</w:t>
      </w:r>
      <w:r w:rsidRPr="00F041AD">
        <w:rPr>
          <w:color w:val="333333" w:themeColor="background1"/>
        </w:rPr>
        <w:t xml:space="preserve">. Success factors are criteria that must be true for the strategy to be successful. Ensuring that these success factors are in place, may take extra effort beyond the identified actions to be realized. We note these success factors in order to flag potential areas for further exploration, and highlight important considerations for strategy success that champions and participants can track in their efforts. </w:t>
      </w:r>
    </w:p>
    <w:p w14:paraId="024B4A25" w14:textId="77777777" w:rsidR="00B65A50" w:rsidRPr="00F041AD" w:rsidRDefault="00B65A50" w:rsidP="00A45F9D">
      <w:pPr>
        <w:pStyle w:val="5BodyText"/>
        <w:rPr>
          <w:color w:val="333333" w:themeColor="background1"/>
        </w:rPr>
      </w:pPr>
    </w:p>
    <w:p w14:paraId="1D681262" w14:textId="77777777" w:rsidR="00B65A50" w:rsidRPr="00F041AD" w:rsidRDefault="00B65A50" w:rsidP="00A45F9D">
      <w:pPr>
        <w:pStyle w:val="5BodyText"/>
        <w:rPr>
          <w:color w:val="333333" w:themeColor="background1"/>
        </w:rPr>
      </w:pPr>
      <w:r w:rsidRPr="00F041AD">
        <w:rPr>
          <w:color w:val="333333" w:themeColor="background1"/>
        </w:rPr>
        <w:t xml:space="preserve">Progress toward success in each strategy can be tracked by </w:t>
      </w:r>
      <w:r w:rsidRPr="00F041AD">
        <w:rPr>
          <w:b/>
          <w:color w:val="333333" w:themeColor="background1"/>
        </w:rPr>
        <w:t>Indicators of Strategy Success.</w:t>
      </w:r>
      <w:r w:rsidRPr="00F041AD">
        <w:rPr>
          <w:color w:val="333333" w:themeColor="background1"/>
        </w:rPr>
        <w:t xml:space="preserve"> Where available, we note the source of existing baseline data that can be used to construct these indicators. However, these data are often not readily available. In these cases, we note the key indicators that champions and stakeholders should track in order to demonstrate progress.</w:t>
      </w:r>
    </w:p>
    <w:p w14:paraId="3C960223" w14:textId="77777777" w:rsidR="00B65A50" w:rsidRPr="00F041AD" w:rsidRDefault="00B65A50" w:rsidP="00A45F9D">
      <w:pPr>
        <w:pStyle w:val="5BodyText"/>
        <w:rPr>
          <w:color w:val="333333" w:themeColor="background1"/>
        </w:rPr>
      </w:pPr>
    </w:p>
    <w:p w14:paraId="61DCBC99" w14:textId="7141EE1B" w:rsidR="00B65A50" w:rsidRPr="00F041AD" w:rsidRDefault="00B65A50" w:rsidP="00A45F9D">
      <w:pPr>
        <w:pStyle w:val="5BodyText"/>
        <w:rPr>
          <w:color w:val="333333" w:themeColor="background1"/>
        </w:rPr>
      </w:pPr>
      <w:r w:rsidRPr="00F041AD">
        <w:rPr>
          <w:color w:val="333333" w:themeColor="background1"/>
        </w:rPr>
        <w:t xml:space="preserve">Given the increasingly interconnected nature of energy sectors and jurisdictions, each strategy also notes </w:t>
      </w:r>
      <w:r w:rsidRPr="00F041AD">
        <w:rPr>
          <w:b/>
          <w:color w:val="333333" w:themeColor="background1"/>
        </w:rPr>
        <w:t>Cross-Sector Opportunities and Synergies</w:t>
      </w:r>
      <w:r w:rsidRPr="00F041AD">
        <w:rPr>
          <w:color w:val="333333" w:themeColor="background1"/>
        </w:rPr>
        <w:t xml:space="preserve"> where the content of one strategy may influence or depend on </w:t>
      </w:r>
      <w:r w:rsidRPr="00F041AD">
        <w:rPr>
          <w:color w:val="333333" w:themeColor="background1"/>
        </w:rPr>
        <w:lastRenderedPageBreak/>
        <w:t xml:space="preserve">another strategy in this document. Highlighting these relationships can help stakeholders “connect the dots” and get a sense of complementary activities and opportunities in the state. </w:t>
      </w:r>
      <w:r w:rsidRPr="00F041AD">
        <w:rPr>
          <w:color w:val="333333" w:themeColor="background1"/>
        </w:rPr>
        <w:fldChar w:fldCharType="begin"/>
      </w:r>
      <w:r w:rsidRPr="00F041AD">
        <w:rPr>
          <w:color w:val="333333" w:themeColor="background1"/>
        </w:rPr>
        <w:instrText xml:space="preserve"> REF _Ref322851268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Table </w:t>
      </w:r>
      <w:r w:rsidR="00171E58">
        <w:rPr>
          <w:noProof/>
          <w:color w:val="333333" w:themeColor="background1"/>
        </w:rPr>
        <w:t>3</w:t>
      </w:r>
      <w:r w:rsidRPr="00F041AD">
        <w:rPr>
          <w:color w:val="333333" w:themeColor="background1"/>
        </w:rPr>
        <w:fldChar w:fldCharType="end"/>
      </w:r>
      <w:r w:rsidRPr="00F041AD">
        <w:rPr>
          <w:color w:val="333333" w:themeColor="background1"/>
        </w:rPr>
        <w:t xml:space="preserve"> lists the strategies contained in this report and indicates the breadth of each strategy’s cross-sector opportunities.</w:t>
      </w:r>
    </w:p>
    <w:p w14:paraId="6C3C2926" w14:textId="77777777" w:rsidR="00B65A50" w:rsidRPr="00F041AD" w:rsidRDefault="00B65A50" w:rsidP="00A45F9D">
      <w:pPr>
        <w:pStyle w:val="5BodyText"/>
        <w:rPr>
          <w:color w:val="333333" w:themeColor="background1"/>
        </w:rPr>
      </w:pPr>
    </w:p>
    <w:p w14:paraId="261EA3BD" w14:textId="5B038266" w:rsidR="00B65A50" w:rsidRPr="00F041AD" w:rsidRDefault="00B65A50" w:rsidP="00A45F9D">
      <w:pPr>
        <w:pStyle w:val="5BodyText"/>
        <w:rPr>
          <w:color w:val="333333" w:themeColor="background1"/>
        </w:rPr>
      </w:pPr>
      <w:r w:rsidRPr="00F041AD">
        <w:rPr>
          <w:color w:val="333333" w:themeColor="background1"/>
        </w:rPr>
        <w:t xml:space="preserve">Each strategy in this Plan already has significant momentum behind it in Minnesota and in many cases at a national level. We highlight </w:t>
      </w:r>
      <w:r w:rsidRPr="00F041AD">
        <w:rPr>
          <w:b/>
          <w:color w:val="333333" w:themeColor="background1"/>
        </w:rPr>
        <w:t>Ongoing Minnesota Initiatives</w:t>
      </w:r>
      <w:r w:rsidRPr="00F041AD">
        <w:rPr>
          <w:color w:val="333333" w:themeColor="background1"/>
        </w:rPr>
        <w:t xml:space="preserve"> and </w:t>
      </w:r>
      <w:r w:rsidRPr="00F041AD">
        <w:rPr>
          <w:b/>
          <w:color w:val="333333" w:themeColor="background1"/>
        </w:rPr>
        <w:t>Other Resources</w:t>
      </w:r>
      <w:r w:rsidRPr="00F041AD">
        <w:rPr>
          <w:color w:val="333333" w:themeColor="background1"/>
        </w:rPr>
        <w:t xml:space="preserve"> for each strategy to note activities and resources that champions, stakeholders, and observers can use to gather more information about best practices, context, and lessons learned in the topic area covered by each strategy.</w:t>
      </w:r>
    </w:p>
    <w:p w14:paraId="2124857F" w14:textId="33CE0F22" w:rsidR="00B65A50" w:rsidRPr="00F041AD" w:rsidRDefault="00B65A50">
      <w:pPr>
        <w:rPr>
          <w:caps/>
          <w:color w:val="333333" w:themeColor="background1"/>
          <w:sz w:val="16"/>
          <w:szCs w:val="16"/>
        </w:rPr>
      </w:pPr>
    </w:p>
    <w:p w14:paraId="330DECD3" w14:textId="3882F5E4" w:rsidR="00B65A50" w:rsidRPr="00F041AD" w:rsidRDefault="00B65A50" w:rsidP="0039721D">
      <w:pPr>
        <w:pStyle w:val="7Caption"/>
        <w:rPr>
          <w:color w:val="333333" w:themeColor="background1"/>
        </w:rPr>
      </w:pPr>
      <w:bookmarkStart w:id="96" w:name="_Ref322851268"/>
      <w:r w:rsidRPr="00F041AD">
        <w:rPr>
          <w:color w:val="333333" w:themeColor="background1"/>
        </w:rPr>
        <w:lastRenderedPageBreak/>
        <w:t xml:space="preserve">Table </w:t>
      </w:r>
      <w:r w:rsidR="0010025D" w:rsidRPr="00F041AD">
        <w:rPr>
          <w:color w:val="333333" w:themeColor="background1"/>
        </w:rPr>
        <w:fldChar w:fldCharType="begin"/>
      </w:r>
      <w:r w:rsidR="0010025D" w:rsidRPr="00F041AD">
        <w:rPr>
          <w:color w:val="333333" w:themeColor="background1"/>
        </w:rPr>
        <w:instrText xml:space="preserve"> SEQ Table \* ARABIC </w:instrText>
      </w:r>
      <w:r w:rsidR="0010025D" w:rsidRPr="00F041AD">
        <w:rPr>
          <w:color w:val="333333" w:themeColor="background1"/>
        </w:rPr>
        <w:fldChar w:fldCharType="separate"/>
      </w:r>
      <w:r w:rsidR="00171E58">
        <w:rPr>
          <w:noProof/>
          <w:color w:val="333333" w:themeColor="background1"/>
        </w:rPr>
        <w:t>3</w:t>
      </w:r>
      <w:r w:rsidR="0010025D" w:rsidRPr="00F041AD">
        <w:rPr>
          <w:noProof/>
          <w:color w:val="333333" w:themeColor="background1"/>
        </w:rPr>
        <w:fldChar w:fldCharType="end"/>
      </w:r>
      <w:bookmarkEnd w:id="96"/>
      <w:r w:rsidRPr="00F041AD">
        <w:rPr>
          <w:color w:val="333333" w:themeColor="background1"/>
        </w:rPr>
        <w:t>: Strategies and cross-sector opportunities</w:t>
      </w:r>
    </w:p>
    <w:tbl>
      <w:tblPr>
        <w:tblW w:w="9915" w:type="dxa"/>
        <w:tblInd w:w="93" w:type="dxa"/>
        <w:tblLayout w:type="fixed"/>
        <w:tblLook w:val="04A0" w:firstRow="1" w:lastRow="0" w:firstColumn="1" w:lastColumn="0" w:noHBand="0" w:noVBand="1"/>
      </w:tblPr>
      <w:tblGrid>
        <w:gridCol w:w="620"/>
        <w:gridCol w:w="1825"/>
        <w:gridCol w:w="3115"/>
        <w:gridCol w:w="871"/>
        <w:gridCol w:w="871"/>
        <w:gridCol w:w="871"/>
        <w:gridCol w:w="871"/>
        <w:gridCol w:w="871"/>
      </w:tblGrid>
      <w:tr w:rsidR="00B65A50" w:rsidRPr="00F041AD" w14:paraId="1888FB53" w14:textId="77777777" w:rsidTr="00F26F54">
        <w:trPr>
          <w:trHeight w:val="360"/>
        </w:trPr>
        <w:tc>
          <w:tcPr>
            <w:tcW w:w="62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384338C3"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1825" w:type="dxa"/>
            <w:tcBorders>
              <w:top w:val="single" w:sz="8" w:space="0" w:color="auto"/>
              <w:left w:val="nil"/>
              <w:bottom w:val="single" w:sz="4" w:space="0" w:color="auto"/>
              <w:right w:val="single" w:sz="4" w:space="0" w:color="auto"/>
            </w:tcBorders>
            <w:shd w:val="clear" w:color="auto" w:fill="auto"/>
            <w:vAlign w:val="bottom"/>
            <w:hideMark/>
          </w:tcPr>
          <w:p w14:paraId="05E57014"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3115" w:type="dxa"/>
            <w:tcBorders>
              <w:top w:val="single" w:sz="8" w:space="0" w:color="auto"/>
              <w:left w:val="nil"/>
              <w:bottom w:val="single" w:sz="4" w:space="0" w:color="auto"/>
              <w:right w:val="single" w:sz="4" w:space="0" w:color="auto"/>
            </w:tcBorders>
            <w:shd w:val="clear" w:color="auto" w:fill="auto"/>
            <w:vAlign w:val="bottom"/>
            <w:hideMark/>
          </w:tcPr>
          <w:p w14:paraId="4E095D92"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4355" w:type="dxa"/>
            <w:gridSpan w:val="5"/>
            <w:tcBorders>
              <w:top w:val="single" w:sz="8" w:space="0" w:color="auto"/>
              <w:left w:val="nil"/>
              <w:bottom w:val="single" w:sz="4" w:space="0" w:color="auto"/>
              <w:right w:val="single" w:sz="8" w:space="0" w:color="auto"/>
            </w:tcBorders>
            <w:shd w:val="clear" w:color="auto" w:fill="auto"/>
            <w:noWrap/>
            <w:vAlign w:val="bottom"/>
            <w:hideMark/>
          </w:tcPr>
          <w:p w14:paraId="58578D9E" w14:textId="77777777" w:rsidR="00B65A50" w:rsidRPr="00F041AD" w:rsidRDefault="00B65A50" w:rsidP="0039721D">
            <w:pPr>
              <w:pStyle w:val="5BodyText"/>
              <w:keepNext/>
              <w:keepLines/>
              <w:rPr>
                <w:color w:val="333333" w:themeColor="background1"/>
              </w:rPr>
            </w:pPr>
            <w:r w:rsidRPr="00F041AD">
              <w:rPr>
                <w:color w:val="333333" w:themeColor="background1"/>
              </w:rPr>
              <w:t> </w:t>
            </w:r>
          </w:p>
          <w:p w14:paraId="31E0CF99" w14:textId="77777777" w:rsidR="00B65A50" w:rsidRPr="00F041AD" w:rsidRDefault="00B65A50" w:rsidP="0039721D">
            <w:pPr>
              <w:pStyle w:val="5BodyText"/>
              <w:keepNext/>
              <w:keepLines/>
              <w:rPr>
                <w:b/>
                <w:color w:val="333333" w:themeColor="background1"/>
              </w:rPr>
            </w:pPr>
            <w:r w:rsidRPr="00F041AD">
              <w:rPr>
                <w:b/>
                <w:color w:val="333333" w:themeColor="background1"/>
              </w:rPr>
              <w:t>Cross-sector opportunities</w:t>
            </w:r>
          </w:p>
        </w:tc>
      </w:tr>
      <w:tr w:rsidR="00B65A50" w:rsidRPr="00F041AD" w14:paraId="296BAE67" w14:textId="77777777" w:rsidTr="00F26F54">
        <w:trPr>
          <w:trHeight w:val="1899"/>
        </w:trPr>
        <w:tc>
          <w:tcPr>
            <w:tcW w:w="620" w:type="dxa"/>
            <w:tcBorders>
              <w:top w:val="nil"/>
              <w:left w:val="single" w:sz="8" w:space="0" w:color="auto"/>
              <w:bottom w:val="single" w:sz="8" w:space="0" w:color="auto"/>
              <w:right w:val="nil"/>
            </w:tcBorders>
            <w:shd w:val="clear" w:color="auto" w:fill="auto"/>
            <w:textDirection w:val="btLr"/>
            <w:vAlign w:val="bottom"/>
            <w:hideMark/>
          </w:tcPr>
          <w:p w14:paraId="5A1E515A" w14:textId="77777777" w:rsidR="00B65A50" w:rsidRPr="00F041AD" w:rsidRDefault="00B65A50" w:rsidP="0039721D">
            <w:pPr>
              <w:pStyle w:val="5BodyText"/>
              <w:keepNext/>
              <w:keepLines/>
              <w:rPr>
                <w:color w:val="333333" w:themeColor="background1"/>
              </w:rPr>
            </w:pPr>
            <w:r w:rsidRPr="00F041AD">
              <w:rPr>
                <w:color w:val="333333" w:themeColor="background1"/>
              </w:rPr>
              <w:t>Sector</w:t>
            </w:r>
          </w:p>
        </w:tc>
        <w:tc>
          <w:tcPr>
            <w:tcW w:w="1825" w:type="dxa"/>
            <w:tcBorders>
              <w:top w:val="nil"/>
              <w:left w:val="single" w:sz="4" w:space="0" w:color="auto"/>
              <w:bottom w:val="single" w:sz="8" w:space="0" w:color="auto"/>
              <w:right w:val="nil"/>
            </w:tcBorders>
            <w:shd w:val="clear" w:color="auto" w:fill="auto"/>
            <w:vAlign w:val="bottom"/>
            <w:hideMark/>
          </w:tcPr>
          <w:p w14:paraId="5823DE5C" w14:textId="77777777" w:rsidR="00B65A50" w:rsidRPr="00F041AD" w:rsidRDefault="00B65A50" w:rsidP="0039721D">
            <w:pPr>
              <w:pStyle w:val="5BodyText"/>
              <w:keepNext/>
              <w:keepLines/>
              <w:rPr>
                <w:color w:val="333333" w:themeColor="background1"/>
              </w:rPr>
            </w:pPr>
            <w:r w:rsidRPr="00F041AD">
              <w:rPr>
                <w:color w:val="333333" w:themeColor="background1"/>
              </w:rPr>
              <w:t>Strategy</w:t>
            </w:r>
          </w:p>
        </w:tc>
        <w:tc>
          <w:tcPr>
            <w:tcW w:w="3115" w:type="dxa"/>
            <w:tcBorders>
              <w:top w:val="nil"/>
              <w:left w:val="single" w:sz="4" w:space="0" w:color="auto"/>
              <w:bottom w:val="single" w:sz="8" w:space="0" w:color="auto"/>
              <w:right w:val="nil"/>
            </w:tcBorders>
            <w:shd w:val="clear" w:color="auto" w:fill="auto"/>
            <w:vAlign w:val="bottom"/>
            <w:hideMark/>
          </w:tcPr>
          <w:p w14:paraId="73164224" w14:textId="77777777" w:rsidR="00B65A50" w:rsidRPr="00F041AD" w:rsidRDefault="00B65A50" w:rsidP="0039721D">
            <w:pPr>
              <w:pStyle w:val="5BodyText"/>
              <w:keepNext/>
              <w:keepLines/>
              <w:rPr>
                <w:color w:val="333333" w:themeColor="background1"/>
              </w:rPr>
            </w:pPr>
            <w:r w:rsidRPr="00F041AD">
              <w:rPr>
                <w:color w:val="333333" w:themeColor="background1"/>
              </w:rPr>
              <w:t>Purpose</w:t>
            </w:r>
          </w:p>
        </w:tc>
        <w:tc>
          <w:tcPr>
            <w:tcW w:w="87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37F44D4C" w14:textId="77777777" w:rsidR="00B65A50" w:rsidRPr="00F041AD" w:rsidRDefault="00B65A50" w:rsidP="0039721D">
            <w:pPr>
              <w:pStyle w:val="5BodyText"/>
              <w:keepNext/>
              <w:keepLines/>
              <w:rPr>
                <w:color w:val="333333" w:themeColor="background1"/>
              </w:rPr>
            </w:pPr>
            <w:r w:rsidRPr="00F041AD">
              <w:rPr>
                <w:color w:val="333333" w:themeColor="background1"/>
              </w:rPr>
              <w:t>Transportation</w:t>
            </w:r>
          </w:p>
        </w:tc>
        <w:tc>
          <w:tcPr>
            <w:tcW w:w="8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32463DF1" w14:textId="77777777" w:rsidR="00B65A50" w:rsidRPr="00F041AD" w:rsidRDefault="00B65A50" w:rsidP="0039721D">
            <w:pPr>
              <w:pStyle w:val="5BodyText"/>
              <w:keepNext/>
              <w:keepLines/>
              <w:rPr>
                <w:color w:val="333333" w:themeColor="background1"/>
              </w:rPr>
            </w:pPr>
            <w:r w:rsidRPr="00F041AD">
              <w:rPr>
                <w:color w:val="333333" w:themeColor="background1"/>
              </w:rPr>
              <w:t>Energy Supply and</w:t>
            </w:r>
          </w:p>
          <w:p w14:paraId="4BC31E84" w14:textId="77777777" w:rsidR="00B65A50" w:rsidRPr="00F041AD" w:rsidRDefault="00B65A50" w:rsidP="0039721D">
            <w:pPr>
              <w:pStyle w:val="5BodyText"/>
              <w:keepNext/>
              <w:keepLines/>
              <w:rPr>
                <w:color w:val="333333" w:themeColor="background1"/>
              </w:rPr>
            </w:pPr>
            <w:r w:rsidRPr="00F041AD">
              <w:rPr>
                <w:color w:val="333333" w:themeColor="background1"/>
              </w:rPr>
              <w:t>Grid Modernization</w:t>
            </w:r>
          </w:p>
        </w:tc>
        <w:tc>
          <w:tcPr>
            <w:tcW w:w="8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1776913C" w14:textId="77777777" w:rsidR="00B65A50" w:rsidRPr="00F041AD" w:rsidRDefault="00B65A50" w:rsidP="0039721D">
            <w:pPr>
              <w:pStyle w:val="5BodyText"/>
              <w:keepNext/>
              <w:keepLines/>
              <w:rPr>
                <w:color w:val="333333" w:themeColor="background1"/>
              </w:rPr>
            </w:pPr>
            <w:r w:rsidRPr="00F041AD">
              <w:rPr>
                <w:color w:val="333333" w:themeColor="background1"/>
              </w:rPr>
              <w:t>Efficient Buildings</w:t>
            </w:r>
          </w:p>
          <w:p w14:paraId="3AAE7820" w14:textId="445D7A9D" w:rsidR="00B65A50" w:rsidRPr="00F041AD" w:rsidRDefault="00B65A50" w:rsidP="0039721D">
            <w:pPr>
              <w:pStyle w:val="5BodyText"/>
              <w:keepNext/>
              <w:keepLines/>
              <w:rPr>
                <w:color w:val="333333" w:themeColor="background1"/>
              </w:rPr>
            </w:pPr>
            <w:r w:rsidRPr="00F041AD">
              <w:rPr>
                <w:color w:val="333333" w:themeColor="background1"/>
              </w:rPr>
              <w:t>and Integrated Energy Systems</w:t>
            </w:r>
          </w:p>
        </w:tc>
        <w:tc>
          <w:tcPr>
            <w:tcW w:w="8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5243287C" w14:textId="77777777" w:rsidR="00B65A50" w:rsidRPr="00F041AD" w:rsidRDefault="00B65A50" w:rsidP="0039721D">
            <w:pPr>
              <w:pStyle w:val="5BodyText"/>
              <w:keepNext/>
              <w:keepLines/>
              <w:rPr>
                <w:color w:val="333333" w:themeColor="background1"/>
              </w:rPr>
            </w:pPr>
            <w:r w:rsidRPr="00F041AD">
              <w:rPr>
                <w:color w:val="333333" w:themeColor="background1"/>
              </w:rPr>
              <w:t>Industrial and</w:t>
            </w:r>
          </w:p>
          <w:p w14:paraId="7574F41C" w14:textId="77777777" w:rsidR="00B65A50" w:rsidRPr="00F041AD" w:rsidRDefault="00B65A50" w:rsidP="0039721D">
            <w:pPr>
              <w:pStyle w:val="5BodyText"/>
              <w:keepNext/>
              <w:keepLines/>
              <w:rPr>
                <w:color w:val="333333" w:themeColor="background1"/>
              </w:rPr>
            </w:pPr>
            <w:r w:rsidRPr="00F041AD">
              <w:rPr>
                <w:color w:val="333333" w:themeColor="background1"/>
              </w:rPr>
              <w:t>Agricultural Sectors</w:t>
            </w:r>
          </w:p>
        </w:tc>
        <w:tc>
          <w:tcPr>
            <w:tcW w:w="871" w:type="dxa"/>
            <w:tcBorders>
              <w:top w:val="single" w:sz="4" w:space="0" w:color="auto"/>
              <w:left w:val="nil"/>
              <w:bottom w:val="single" w:sz="4" w:space="0" w:color="auto"/>
              <w:right w:val="single" w:sz="8" w:space="0" w:color="auto"/>
            </w:tcBorders>
            <w:shd w:val="clear" w:color="auto" w:fill="auto"/>
            <w:textDirection w:val="btLr"/>
            <w:vAlign w:val="bottom"/>
            <w:hideMark/>
          </w:tcPr>
          <w:p w14:paraId="22C5D8ED" w14:textId="77777777" w:rsidR="00B65A50" w:rsidRPr="00F041AD" w:rsidRDefault="00B65A50" w:rsidP="0039721D">
            <w:pPr>
              <w:pStyle w:val="5BodyText"/>
              <w:keepNext/>
              <w:keepLines/>
              <w:rPr>
                <w:color w:val="333333" w:themeColor="background1"/>
              </w:rPr>
            </w:pPr>
            <w:r w:rsidRPr="00F041AD">
              <w:rPr>
                <w:color w:val="333333" w:themeColor="background1"/>
              </w:rPr>
              <w:t>Local Planning</w:t>
            </w:r>
          </w:p>
          <w:p w14:paraId="1B1FAE3A" w14:textId="77777777" w:rsidR="00B65A50" w:rsidRPr="00F041AD" w:rsidRDefault="00B65A50" w:rsidP="0039721D">
            <w:pPr>
              <w:pStyle w:val="5BodyText"/>
              <w:keepNext/>
              <w:keepLines/>
              <w:rPr>
                <w:color w:val="333333" w:themeColor="background1"/>
              </w:rPr>
            </w:pPr>
            <w:r w:rsidRPr="00F041AD">
              <w:rPr>
                <w:color w:val="333333" w:themeColor="background1"/>
              </w:rPr>
              <w:t>and Action</w:t>
            </w:r>
          </w:p>
        </w:tc>
      </w:tr>
      <w:tr w:rsidR="00B65A50" w:rsidRPr="00F041AD" w14:paraId="6B5CD7EC" w14:textId="77777777" w:rsidTr="00F26F54">
        <w:trPr>
          <w:trHeight w:val="1200"/>
        </w:trPr>
        <w:tc>
          <w:tcPr>
            <w:tcW w:w="620" w:type="dxa"/>
            <w:vMerge w:val="restart"/>
            <w:tcBorders>
              <w:top w:val="nil"/>
              <w:left w:val="single" w:sz="8" w:space="0" w:color="auto"/>
              <w:bottom w:val="single" w:sz="8" w:space="0" w:color="000000"/>
              <w:right w:val="nil"/>
            </w:tcBorders>
            <w:shd w:val="clear" w:color="auto" w:fill="auto"/>
            <w:textDirection w:val="btLr"/>
            <w:vAlign w:val="center"/>
            <w:hideMark/>
          </w:tcPr>
          <w:p w14:paraId="230E7C43" w14:textId="77777777" w:rsidR="00B65A50" w:rsidRPr="00F041AD" w:rsidRDefault="00B65A50" w:rsidP="0039721D">
            <w:pPr>
              <w:pStyle w:val="5BodyText"/>
              <w:keepNext/>
              <w:keepLines/>
              <w:rPr>
                <w:color w:val="333333" w:themeColor="background1"/>
              </w:rPr>
            </w:pPr>
            <w:r w:rsidRPr="00F041AD">
              <w:rPr>
                <w:color w:val="333333" w:themeColor="background1"/>
              </w:rPr>
              <w:t>Transportation</w:t>
            </w:r>
          </w:p>
        </w:tc>
        <w:tc>
          <w:tcPr>
            <w:tcW w:w="1825" w:type="dxa"/>
            <w:tcBorders>
              <w:top w:val="nil"/>
              <w:left w:val="single" w:sz="4" w:space="0" w:color="auto"/>
              <w:bottom w:val="single" w:sz="4" w:space="0" w:color="auto"/>
              <w:right w:val="single" w:sz="4" w:space="0" w:color="auto"/>
            </w:tcBorders>
            <w:shd w:val="clear" w:color="auto" w:fill="auto"/>
            <w:vAlign w:val="bottom"/>
            <w:hideMark/>
          </w:tcPr>
          <w:p w14:paraId="7DC1DDD1" w14:textId="77777777" w:rsidR="00B65A50" w:rsidRPr="00F041AD" w:rsidRDefault="00B65A50" w:rsidP="0039721D">
            <w:pPr>
              <w:pStyle w:val="5BodyText"/>
              <w:keepNext/>
              <w:keepLines/>
              <w:rPr>
                <w:color w:val="333333" w:themeColor="background1"/>
              </w:rPr>
            </w:pPr>
            <w:r w:rsidRPr="00F041AD">
              <w:rPr>
                <w:color w:val="333333" w:themeColor="background1"/>
              </w:rPr>
              <w:t>Increase adoption of personal electric vehicles</w:t>
            </w:r>
          </w:p>
        </w:tc>
        <w:tc>
          <w:tcPr>
            <w:tcW w:w="3115" w:type="dxa"/>
            <w:tcBorders>
              <w:top w:val="nil"/>
              <w:left w:val="nil"/>
              <w:bottom w:val="single" w:sz="4" w:space="0" w:color="auto"/>
              <w:right w:val="single" w:sz="4" w:space="0" w:color="auto"/>
            </w:tcBorders>
            <w:shd w:val="clear" w:color="auto" w:fill="auto"/>
            <w:vAlign w:val="bottom"/>
            <w:hideMark/>
          </w:tcPr>
          <w:p w14:paraId="1167A612" w14:textId="77777777" w:rsidR="00B65A50" w:rsidRPr="00F041AD" w:rsidRDefault="00B65A50" w:rsidP="0039721D">
            <w:pPr>
              <w:pStyle w:val="5BodyText"/>
              <w:keepNext/>
              <w:keepLines/>
              <w:rPr>
                <w:color w:val="333333" w:themeColor="background1"/>
              </w:rPr>
            </w:pPr>
            <w:r w:rsidRPr="00F041AD">
              <w:rPr>
                <w:color w:val="333333" w:themeColor="background1"/>
              </w:rPr>
              <w:t>Electric vehicles offer reduced emissions and lower operating costs compared to conventional vehicles</w:t>
            </w:r>
          </w:p>
        </w:tc>
        <w:tc>
          <w:tcPr>
            <w:tcW w:w="871" w:type="dxa"/>
            <w:tcBorders>
              <w:top w:val="nil"/>
              <w:left w:val="nil"/>
              <w:bottom w:val="single" w:sz="4" w:space="0" w:color="auto"/>
              <w:right w:val="single" w:sz="4" w:space="0" w:color="auto"/>
            </w:tcBorders>
            <w:shd w:val="clear" w:color="auto" w:fill="auto"/>
            <w:noWrap/>
            <w:vAlign w:val="bottom"/>
            <w:hideMark/>
          </w:tcPr>
          <w:p w14:paraId="505ABFDA"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448027" w:themeFill="accent3" w:themeFillShade="BF"/>
            <w:noWrap/>
            <w:vAlign w:val="bottom"/>
            <w:hideMark/>
          </w:tcPr>
          <w:p w14:paraId="447EFAB1"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auto"/>
            <w:noWrap/>
            <w:vAlign w:val="bottom"/>
            <w:hideMark/>
          </w:tcPr>
          <w:p w14:paraId="566432BD"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auto"/>
            <w:noWrap/>
            <w:vAlign w:val="bottom"/>
            <w:hideMark/>
          </w:tcPr>
          <w:p w14:paraId="5CFB5FB7"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8" w:space="0" w:color="auto"/>
            </w:tcBorders>
            <w:shd w:val="clear" w:color="auto" w:fill="auto"/>
            <w:noWrap/>
            <w:vAlign w:val="bottom"/>
            <w:hideMark/>
          </w:tcPr>
          <w:p w14:paraId="3293CE44"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r>
      <w:tr w:rsidR="00B65A50" w:rsidRPr="00F041AD" w14:paraId="705652CC" w14:textId="77777777" w:rsidTr="00F26F54">
        <w:trPr>
          <w:trHeight w:val="840"/>
        </w:trPr>
        <w:tc>
          <w:tcPr>
            <w:tcW w:w="620" w:type="dxa"/>
            <w:vMerge/>
            <w:tcBorders>
              <w:top w:val="nil"/>
              <w:left w:val="single" w:sz="8" w:space="0" w:color="auto"/>
              <w:bottom w:val="single" w:sz="8" w:space="0" w:color="000000"/>
              <w:right w:val="nil"/>
            </w:tcBorders>
            <w:vAlign w:val="center"/>
            <w:hideMark/>
          </w:tcPr>
          <w:p w14:paraId="63D4750A" w14:textId="77777777" w:rsidR="00B65A50" w:rsidRPr="00F041AD" w:rsidRDefault="00B65A50" w:rsidP="0039721D">
            <w:pPr>
              <w:pStyle w:val="5BodyText"/>
              <w:keepNext/>
              <w:keepLines/>
              <w:rPr>
                <w:color w:val="333333" w:themeColor="background1"/>
              </w:rPr>
            </w:pPr>
          </w:p>
        </w:tc>
        <w:tc>
          <w:tcPr>
            <w:tcW w:w="1825" w:type="dxa"/>
            <w:tcBorders>
              <w:top w:val="nil"/>
              <w:left w:val="single" w:sz="4" w:space="0" w:color="auto"/>
              <w:bottom w:val="single" w:sz="4" w:space="0" w:color="auto"/>
              <w:right w:val="single" w:sz="4" w:space="0" w:color="auto"/>
            </w:tcBorders>
            <w:shd w:val="clear" w:color="auto" w:fill="auto"/>
            <w:vAlign w:val="bottom"/>
            <w:hideMark/>
          </w:tcPr>
          <w:p w14:paraId="689AE7A8" w14:textId="77777777" w:rsidR="00B65A50" w:rsidRPr="00F041AD" w:rsidRDefault="00B65A50" w:rsidP="0039721D">
            <w:pPr>
              <w:pStyle w:val="5BodyText"/>
              <w:keepNext/>
              <w:keepLines/>
              <w:rPr>
                <w:color w:val="333333" w:themeColor="background1"/>
              </w:rPr>
            </w:pPr>
            <w:r w:rsidRPr="00F041AD">
              <w:rPr>
                <w:color w:val="333333" w:themeColor="background1"/>
              </w:rPr>
              <w:t>Electrify buses</w:t>
            </w:r>
          </w:p>
        </w:tc>
        <w:tc>
          <w:tcPr>
            <w:tcW w:w="3115" w:type="dxa"/>
            <w:tcBorders>
              <w:top w:val="nil"/>
              <w:left w:val="nil"/>
              <w:bottom w:val="single" w:sz="4" w:space="0" w:color="auto"/>
              <w:right w:val="single" w:sz="4" w:space="0" w:color="auto"/>
            </w:tcBorders>
            <w:shd w:val="clear" w:color="auto" w:fill="auto"/>
            <w:vAlign w:val="bottom"/>
            <w:hideMark/>
          </w:tcPr>
          <w:p w14:paraId="19B60EDF" w14:textId="77777777" w:rsidR="00B65A50" w:rsidRPr="00F041AD" w:rsidRDefault="00B65A50" w:rsidP="0039721D">
            <w:pPr>
              <w:pStyle w:val="5BodyText"/>
              <w:keepNext/>
              <w:keepLines/>
              <w:rPr>
                <w:color w:val="333333" w:themeColor="background1"/>
              </w:rPr>
            </w:pPr>
            <w:r w:rsidRPr="00F041AD">
              <w:rPr>
                <w:color w:val="333333" w:themeColor="background1"/>
              </w:rPr>
              <w:t xml:space="preserve">Electric buses offer increased fuel efficiency and reduced air emissions. </w:t>
            </w:r>
          </w:p>
        </w:tc>
        <w:tc>
          <w:tcPr>
            <w:tcW w:w="871" w:type="dxa"/>
            <w:tcBorders>
              <w:top w:val="nil"/>
              <w:left w:val="nil"/>
              <w:bottom w:val="single" w:sz="4" w:space="0" w:color="auto"/>
              <w:right w:val="single" w:sz="4" w:space="0" w:color="auto"/>
            </w:tcBorders>
            <w:shd w:val="clear" w:color="auto" w:fill="auto"/>
            <w:noWrap/>
            <w:vAlign w:val="bottom"/>
            <w:hideMark/>
          </w:tcPr>
          <w:p w14:paraId="786537A2"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448027" w:themeFill="accent3" w:themeFillShade="BF"/>
            <w:noWrap/>
            <w:vAlign w:val="bottom"/>
            <w:hideMark/>
          </w:tcPr>
          <w:p w14:paraId="5E142BA6"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auto"/>
            <w:noWrap/>
            <w:vAlign w:val="bottom"/>
            <w:hideMark/>
          </w:tcPr>
          <w:p w14:paraId="46DB6B6D"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auto"/>
            <w:noWrap/>
            <w:vAlign w:val="bottom"/>
            <w:hideMark/>
          </w:tcPr>
          <w:p w14:paraId="6AB5128E"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8" w:space="0" w:color="auto"/>
            </w:tcBorders>
            <w:shd w:val="clear" w:color="000000" w:fill="448027" w:themeFill="accent3" w:themeFillShade="BF"/>
            <w:noWrap/>
            <w:vAlign w:val="bottom"/>
            <w:hideMark/>
          </w:tcPr>
          <w:p w14:paraId="3F95C93F"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r>
      <w:tr w:rsidR="00B65A50" w:rsidRPr="00F041AD" w14:paraId="79FBF647" w14:textId="77777777" w:rsidTr="00F26F54">
        <w:trPr>
          <w:trHeight w:val="840"/>
        </w:trPr>
        <w:tc>
          <w:tcPr>
            <w:tcW w:w="620" w:type="dxa"/>
            <w:vMerge/>
            <w:tcBorders>
              <w:top w:val="nil"/>
              <w:left w:val="single" w:sz="8" w:space="0" w:color="auto"/>
              <w:bottom w:val="single" w:sz="8" w:space="0" w:color="000000"/>
              <w:right w:val="nil"/>
            </w:tcBorders>
            <w:vAlign w:val="center"/>
            <w:hideMark/>
          </w:tcPr>
          <w:p w14:paraId="3AB33EF1" w14:textId="77777777" w:rsidR="00B65A50" w:rsidRPr="00F041AD" w:rsidRDefault="00B65A50" w:rsidP="0039721D">
            <w:pPr>
              <w:pStyle w:val="5BodyText"/>
              <w:keepNext/>
              <w:keepLines/>
              <w:rPr>
                <w:color w:val="333333" w:themeColor="background1"/>
              </w:rPr>
            </w:pPr>
          </w:p>
        </w:tc>
        <w:tc>
          <w:tcPr>
            <w:tcW w:w="1825" w:type="dxa"/>
            <w:tcBorders>
              <w:top w:val="nil"/>
              <w:left w:val="single" w:sz="4" w:space="0" w:color="auto"/>
              <w:bottom w:val="single" w:sz="4" w:space="0" w:color="auto"/>
              <w:right w:val="single" w:sz="4" w:space="0" w:color="auto"/>
            </w:tcBorders>
            <w:shd w:val="clear" w:color="auto" w:fill="auto"/>
            <w:vAlign w:val="bottom"/>
            <w:hideMark/>
          </w:tcPr>
          <w:p w14:paraId="09826D82" w14:textId="77777777" w:rsidR="00B65A50" w:rsidRPr="00F041AD" w:rsidRDefault="00B65A50" w:rsidP="0039721D">
            <w:pPr>
              <w:pStyle w:val="5BodyText"/>
              <w:keepNext/>
              <w:keepLines/>
              <w:rPr>
                <w:color w:val="333333" w:themeColor="background1"/>
              </w:rPr>
            </w:pPr>
            <w:r w:rsidRPr="00F041AD">
              <w:rPr>
                <w:color w:val="333333" w:themeColor="background1"/>
              </w:rPr>
              <w:t>Electrify fleets</w:t>
            </w:r>
          </w:p>
        </w:tc>
        <w:tc>
          <w:tcPr>
            <w:tcW w:w="3115" w:type="dxa"/>
            <w:tcBorders>
              <w:top w:val="nil"/>
              <w:left w:val="nil"/>
              <w:bottom w:val="single" w:sz="4" w:space="0" w:color="auto"/>
              <w:right w:val="single" w:sz="4" w:space="0" w:color="auto"/>
            </w:tcBorders>
            <w:shd w:val="clear" w:color="auto" w:fill="auto"/>
            <w:vAlign w:val="bottom"/>
            <w:hideMark/>
          </w:tcPr>
          <w:p w14:paraId="6BAFD26A" w14:textId="77777777" w:rsidR="00B65A50" w:rsidRPr="00F041AD" w:rsidRDefault="00B65A50" w:rsidP="0039721D">
            <w:pPr>
              <w:pStyle w:val="5BodyText"/>
              <w:keepNext/>
              <w:keepLines/>
              <w:rPr>
                <w:color w:val="333333" w:themeColor="background1"/>
              </w:rPr>
            </w:pPr>
            <w:r w:rsidRPr="00F041AD">
              <w:rPr>
                <w:color w:val="333333" w:themeColor="background1"/>
              </w:rPr>
              <w:t>Electric vehicles in high-mileage fleets offer increased economic benefits.</w:t>
            </w:r>
          </w:p>
        </w:tc>
        <w:tc>
          <w:tcPr>
            <w:tcW w:w="871" w:type="dxa"/>
            <w:tcBorders>
              <w:top w:val="nil"/>
              <w:left w:val="nil"/>
              <w:bottom w:val="single" w:sz="4" w:space="0" w:color="auto"/>
              <w:right w:val="single" w:sz="4" w:space="0" w:color="auto"/>
            </w:tcBorders>
            <w:shd w:val="clear" w:color="auto" w:fill="auto"/>
            <w:noWrap/>
            <w:vAlign w:val="bottom"/>
            <w:hideMark/>
          </w:tcPr>
          <w:p w14:paraId="53282391"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448027" w:themeFill="accent3" w:themeFillShade="BF"/>
            <w:noWrap/>
            <w:vAlign w:val="bottom"/>
            <w:hideMark/>
          </w:tcPr>
          <w:p w14:paraId="45E963A4"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auto"/>
            <w:noWrap/>
            <w:vAlign w:val="bottom"/>
            <w:hideMark/>
          </w:tcPr>
          <w:p w14:paraId="25A06EFC"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auto"/>
            <w:noWrap/>
            <w:vAlign w:val="bottom"/>
            <w:hideMark/>
          </w:tcPr>
          <w:p w14:paraId="16CE7C50"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8" w:space="0" w:color="auto"/>
            </w:tcBorders>
            <w:shd w:val="clear" w:color="000000" w:fill="448027" w:themeFill="accent3" w:themeFillShade="BF"/>
            <w:noWrap/>
            <w:vAlign w:val="bottom"/>
            <w:hideMark/>
          </w:tcPr>
          <w:p w14:paraId="0A83B679"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r>
      <w:tr w:rsidR="00B65A50" w:rsidRPr="00F041AD" w14:paraId="695933AE" w14:textId="77777777" w:rsidTr="00F26F54">
        <w:trPr>
          <w:trHeight w:val="1140"/>
        </w:trPr>
        <w:tc>
          <w:tcPr>
            <w:tcW w:w="620" w:type="dxa"/>
            <w:vMerge/>
            <w:tcBorders>
              <w:top w:val="nil"/>
              <w:left w:val="single" w:sz="8" w:space="0" w:color="auto"/>
              <w:bottom w:val="single" w:sz="8" w:space="0" w:color="000000"/>
              <w:right w:val="nil"/>
            </w:tcBorders>
            <w:vAlign w:val="center"/>
            <w:hideMark/>
          </w:tcPr>
          <w:p w14:paraId="5223F615" w14:textId="77777777" w:rsidR="00B65A50" w:rsidRPr="00F041AD" w:rsidRDefault="00B65A50" w:rsidP="0039721D">
            <w:pPr>
              <w:pStyle w:val="5BodyText"/>
              <w:keepNext/>
              <w:keepLines/>
              <w:rPr>
                <w:color w:val="333333" w:themeColor="background1"/>
              </w:rPr>
            </w:pPr>
          </w:p>
        </w:tc>
        <w:tc>
          <w:tcPr>
            <w:tcW w:w="1825" w:type="dxa"/>
            <w:tcBorders>
              <w:top w:val="nil"/>
              <w:left w:val="single" w:sz="4" w:space="0" w:color="auto"/>
              <w:bottom w:val="single" w:sz="8" w:space="0" w:color="auto"/>
              <w:right w:val="single" w:sz="4" w:space="0" w:color="auto"/>
            </w:tcBorders>
            <w:shd w:val="clear" w:color="auto" w:fill="auto"/>
            <w:vAlign w:val="bottom"/>
            <w:hideMark/>
          </w:tcPr>
          <w:p w14:paraId="48A459DF" w14:textId="77777777" w:rsidR="00B65A50" w:rsidRPr="00F041AD" w:rsidRDefault="00B65A50" w:rsidP="0039721D">
            <w:pPr>
              <w:pStyle w:val="5BodyText"/>
              <w:keepNext/>
              <w:keepLines/>
              <w:rPr>
                <w:color w:val="333333" w:themeColor="background1"/>
              </w:rPr>
            </w:pPr>
            <w:r w:rsidRPr="00F041AD">
              <w:rPr>
                <w:color w:val="333333" w:themeColor="background1"/>
              </w:rPr>
              <w:t>Increase adoption of alternative-fuel heavy-duty vehicles</w:t>
            </w:r>
          </w:p>
        </w:tc>
        <w:tc>
          <w:tcPr>
            <w:tcW w:w="3115" w:type="dxa"/>
            <w:tcBorders>
              <w:top w:val="nil"/>
              <w:left w:val="nil"/>
              <w:bottom w:val="single" w:sz="8" w:space="0" w:color="auto"/>
              <w:right w:val="single" w:sz="4" w:space="0" w:color="auto"/>
            </w:tcBorders>
            <w:shd w:val="clear" w:color="auto" w:fill="auto"/>
            <w:vAlign w:val="bottom"/>
            <w:hideMark/>
          </w:tcPr>
          <w:p w14:paraId="64189C79" w14:textId="77777777" w:rsidR="00B65A50" w:rsidRPr="00F041AD" w:rsidRDefault="00B65A50" w:rsidP="0039721D">
            <w:pPr>
              <w:pStyle w:val="5BodyText"/>
              <w:keepNext/>
              <w:keepLines/>
              <w:rPr>
                <w:color w:val="333333" w:themeColor="background1"/>
              </w:rPr>
            </w:pPr>
            <w:r w:rsidRPr="00F041AD">
              <w:rPr>
                <w:color w:val="333333" w:themeColor="background1"/>
              </w:rPr>
              <w:t>Heavy-duty vehicles powered by renewable natural gas offer emissions savings.</w:t>
            </w:r>
          </w:p>
        </w:tc>
        <w:tc>
          <w:tcPr>
            <w:tcW w:w="871" w:type="dxa"/>
            <w:tcBorders>
              <w:top w:val="nil"/>
              <w:left w:val="nil"/>
              <w:bottom w:val="single" w:sz="8" w:space="0" w:color="auto"/>
              <w:right w:val="single" w:sz="4" w:space="0" w:color="auto"/>
            </w:tcBorders>
            <w:shd w:val="clear" w:color="auto" w:fill="auto"/>
            <w:noWrap/>
            <w:vAlign w:val="bottom"/>
            <w:hideMark/>
          </w:tcPr>
          <w:p w14:paraId="1F37AD58"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8" w:space="0" w:color="auto"/>
              <w:right w:val="single" w:sz="4" w:space="0" w:color="auto"/>
            </w:tcBorders>
            <w:shd w:val="clear" w:color="auto" w:fill="auto"/>
            <w:noWrap/>
            <w:vAlign w:val="bottom"/>
            <w:hideMark/>
          </w:tcPr>
          <w:p w14:paraId="3601C536"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8" w:space="0" w:color="auto"/>
              <w:right w:val="single" w:sz="4" w:space="0" w:color="auto"/>
            </w:tcBorders>
            <w:shd w:val="clear" w:color="auto" w:fill="auto"/>
            <w:noWrap/>
            <w:vAlign w:val="bottom"/>
            <w:hideMark/>
          </w:tcPr>
          <w:p w14:paraId="7CF783F4"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8" w:space="0" w:color="auto"/>
              <w:right w:val="single" w:sz="4" w:space="0" w:color="auto"/>
            </w:tcBorders>
            <w:shd w:val="clear" w:color="000000" w:fill="448027" w:themeFill="accent3" w:themeFillShade="BF"/>
            <w:noWrap/>
            <w:vAlign w:val="bottom"/>
            <w:hideMark/>
          </w:tcPr>
          <w:p w14:paraId="3E8E1197"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8" w:space="0" w:color="auto"/>
              <w:right w:val="single" w:sz="8" w:space="0" w:color="auto"/>
            </w:tcBorders>
            <w:shd w:val="clear" w:color="auto" w:fill="auto"/>
            <w:noWrap/>
            <w:vAlign w:val="bottom"/>
            <w:hideMark/>
          </w:tcPr>
          <w:p w14:paraId="6B45A1B3"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r>
      <w:tr w:rsidR="00B65A50" w:rsidRPr="00F041AD" w14:paraId="3AC103F3" w14:textId="77777777" w:rsidTr="00F26F54">
        <w:trPr>
          <w:trHeight w:val="1120"/>
        </w:trPr>
        <w:tc>
          <w:tcPr>
            <w:tcW w:w="620" w:type="dxa"/>
            <w:vMerge w:val="restart"/>
            <w:tcBorders>
              <w:top w:val="nil"/>
              <w:left w:val="single" w:sz="8" w:space="0" w:color="auto"/>
              <w:bottom w:val="single" w:sz="8" w:space="0" w:color="000000"/>
              <w:right w:val="nil"/>
            </w:tcBorders>
            <w:shd w:val="clear" w:color="auto" w:fill="auto"/>
            <w:textDirection w:val="btLr"/>
            <w:vAlign w:val="center"/>
            <w:hideMark/>
          </w:tcPr>
          <w:p w14:paraId="1E208A88" w14:textId="77777777" w:rsidR="00B65A50" w:rsidRPr="00F041AD" w:rsidRDefault="00B65A50" w:rsidP="0039721D">
            <w:pPr>
              <w:pStyle w:val="5BodyText"/>
              <w:keepNext/>
              <w:keepLines/>
              <w:rPr>
                <w:color w:val="333333" w:themeColor="background1"/>
              </w:rPr>
            </w:pPr>
            <w:r w:rsidRPr="00F041AD">
              <w:rPr>
                <w:color w:val="333333" w:themeColor="background1"/>
              </w:rPr>
              <w:t>Energy Supply &amp; Grid Modernization</w:t>
            </w:r>
          </w:p>
        </w:tc>
        <w:tc>
          <w:tcPr>
            <w:tcW w:w="1825" w:type="dxa"/>
            <w:tcBorders>
              <w:top w:val="nil"/>
              <w:left w:val="single" w:sz="4" w:space="0" w:color="auto"/>
              <w:bottom w:val="single" w:sz="4" w:space="0" w:color="auto"/>
              <w:right w:val="single" w:sz="4" w:space="0" w:color="auto"/>
            </w:tcBorders>
            <w:shd w:val="clear" w:color="auto" w:fill="auto"/>
            <w:vAlign w:val="bottom"/>
            <w:hideMark/>
          </w:tcPr>
          <w:p w14:paraId="616F4198" w14:textId="77777777" w:rsidR="00B65A50" w:rsidRPr="00F041AD" w:rsidRDefault="00B65A50" w:rsidP="0039721D">
            <w:pPr>
              <w:pStyle w:val="5BodyText"/>
              <w:keepNext/>
              <w:keepLines/>
              <w:rPr>
                <w:color w:val="333333" w:themeColor="background1"/>
              </w:rPr>
            </w:pPr>
            <w:r w:rsidRPr="00F041AD">
              <w:rPr>
                <w:color w:val="333333" w:themeColor="background1"/>
              </w:rPr>
              <w:t xml:space="preserve">Deploy advanced metering infrastructure (AMI) </w:t>
            </w:r>
          </w:p>
        </w:tc>
        <w:tc>
          <w:tcPr>
            <w:tcW w:w="3115" w:type="dxa"/>
            <w:tcBorders>
              <w:top w:val="nil"/>
              <w:left w:val="nil"/>
              <w:bottom w:val="single" w:sz="4" w:space="0" w:color="auto"/>
              <w:right w:val="single" w:sz="4" w:space="0" w:color="auto"/>
            </w:tcBorders>
            <w:shd w:val="clear" w:color="auto" w:fill="auto"/>
            <w:vAlign w:val="bottom"/>
            <w:hideMark/>
          </w:tcPr>
          <w:p w14:paraId="04345B49" w14:textId="77777777" w:rsidR="00B65A50" w:rsidRPr="00F041AD" w:rsidRDefault="00B65A50" w:rsidP="0039721D">
            <w:pPr>
              <w:pStyle w:val="5BodyText"/>
              <w:keepNext/>
              <w:keepLines/>
              <w:rPr>
                <w:color w:val="333333" w:themeColor="background1"/>
              </w:rPr>
            </w:pPr>
            <w:r w:rsidRPr="00F041AD">
              <w:rPr>
                <w:color w:val="333333" w:themeColor="background1"/>
              </w:rPr>
              <w:t>AMI allows for 2-way communication between customer meters and the utility.</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679EA4AF"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4C20AB02"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1C4D58F9"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auto"/>
            <w:noWrap/>
            <w:vAlign w:val="bottom"/>
            <w:hideMark/>
          </w:tcPr>
          <w:p w14:paraId="5E5B1BDA"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8" w:space="0" w:color="auto"/>
            </w:tcBorders>
            <w:shd w:val="clear" w:color="auto" w:fill="auto"/>
            <w:noWrap/>
            <w:vAlign w:val="bottom"/>
            <w:hideMark/>
          </w:tcPr>
          <w:p w14:paraId="68485A67"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r>
      <w:tr w:rsidR="00B65A50" w:rsidRPr="00F041AD" w14:paraId="2C6402A0" w14:textId="77777777" w:rsidTr="00F26F54">
        <w:trPr>
          <w:trHeight w:val="840"/>
        </w:trPr>
        <w:tc>
          <w:tcPr>
            <w:tcW w:w="620" w:type="dxa"/>
            <w:vMerge/>
            <w:tcBorders>
              <w:top w:val="nil"/>
              <w:left w:val="single" w:sz="8" w:space="0" w:color="auto"/>
              <w:bottom w:val="single" w:sz="8" w:space="0" w:color="000000"/>
              <w:right w:val="nil"/>
            </w:tcBorders>
            <w:vAlign w:val="center"/>
            <w:hideMark/>
          </w:tcPr>
          <w:p w14:paraId="19C155A6" w14:textId="77777777" w:rsidR="00B65A50" w:rsidRPr="00F041AD" w:rsidRDefault="00B65A50" w:rsidP="0039721D">
            <w:pPr>
              <w:pStyle w:val="5BodyText"/>
              <w:keepNext/>
              <w:keepLines/>
              <w:rPr>
                <w:color w:val="333333" w:themeColor="background1"/>
              </w:rPr>
            </w:pPr>
          </w:p>
        </w:tc>
        <w:tc>
          <w:tcPr>
            <w:tcW w:w="1825" w:type="dxa"/>
            <w:tcBorders>
              <w:top w:val="nil"/>
              <w:left w:val="single" w:sz="4" w:space="0" w:color="auto"/>
              <w:bottom w:val="single" w:sz="4" w:space="0" w:color="auto"/>
              <w:right w:val="single" w:sz="4" w:space="0" w:color="auto"/>
            </w:tcBorders>
            <w:shd w:val="clear" w:color="auto" w:fill="auto"/>
            <w:vAlign w:val="bottom"/>
            <w:hideMark/>
          </w:tcPr>
          <w:p w14:paraId="28FF8903" w14:textId="77777777" w:rsidR="00B65A50" w:rsidRPr="00F041AD" w:rsidRDefault="00B65A50" w:rsidP="0039721D">
            <w:pPr>
              <w:pStyle w:val="5BodyText"/>
              <w:keepNext/>
              <w:keepLines/>
              <w:rPr>
                <w:color w:val="333333" w:themeColor="background1"/>
              </w:rPr>
            </w:pPr>
            <w:r w:rsidRPr="00F041AD">
              <w:rPr>
                <w:color w:val="333333" w:themeColor="background1"/>
              </w:rPr>
              <w:t xml:space="preserve">Enable smart inverter functionality </w:t>
            </w:r>
          </w:p>
        </w:tc>
        <w:tc>
          <w:tcPr>
            <w:tcW w:w="3115" w:type="dxa"/>
            <w:tcBorders>
              <w:top w:val="nil"/>
              <w:left w:val="nil"/>
              <w:bottom w:val="single" w:sz="4" w:space="0" w:color="auto"/>
              <w:right w:val="single" w:sz="4" w:space="0" w:color="auto"/>
            </w:tcBorders>
            <w:shd w:val="clear" w:color="auto" w:fill="auto"/>
            <w:vAlign w:val="bottom"/>
            <w:hideMark/>
          </w:tcPr>
          <w:p w14:paraId="6E380B68" w14:textId="77777777" w:rsidR="00B65A50" w:rsidRPr="00F041AD" w:rsidRDefault="00B65A50" w:rsidP="0039721D">
            <w:pPr>
              <w:pStyle w:val="5BodyText"/>
              <w:keepNext/>
              <w:keepLines/>
              <w:rPr>
                <w:color w:val="333333" w:themeColor="background1"/>
              </w:rPr>
            </w:pPr>
            <w:r w:rsidRPr="00F041AD">
              <w:rPr>
                <w:color w:val="333333" w:themeColor="background1"/>
              </w:rPr>
              <w:t>Smart inverters allow utilities to better integrate solar power with the grid.</w:t>
            </w:r>
          </w:p>
        </w:tc>
        <w:tc>
          <w:tcPr>
            <w:tcW w:w="871" w:type="dxa"/>
            <w:tcBorders>
              <w:top w:val="nil"/>
              <w:left w:val="nil"/>
              <w:bottom w:val="single" w:sz="4" w:space="0" w:color="auto"/>
              <w:right w:val="single" w:sz="4" w:space="0" w:color="auto"/>
            </w:tcBorders>
            <w:shd w:val="clear" w:color="auto" w:fill="auto"/>
            <w:noWrap/>
            <w:vAlign w:val="bottom"/>
            <w:hideMark/>
          </w:tcPr>
          <w:p w14:paraId="771A9462"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51BB5A54"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1B85238E"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auto"/>
            <w:noWrap/>
            <w:vAlign w:val="bottom"/>
            <w:hideMark/>
          </w:tcPr>
          <w:p w14:paraId="5DB1CCA9"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8" w:space="0" w:color="auto"/>
            </w:tcBorders>
            <w:shd w:val="clear" w:color="auto" w:fill="auto"/>
            <w:noWrap/>
            <w:vAlign w:val="bottom"/>
            <w:hideMark/>
          </w:tcPr>
          <w:p w14:paraId="09055394"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r>
      <w:tr w:rsidR="00B65A50" w:rsidRPr="00F041AD" w14:paraId="15A0434C" w14:textId="77777777" w:rsidTr="00F26F54">
        <w:trPr>
          <w:trHeight w:val="988"/>
        </w:trPr>
        <w:tc>
          <w:tcPr>
            <w:tcW w:w="620" w:type="dxa"/>
            <w:vMerge/>
            <w:tcBorders>
              <w:top w:val="nil"/>
              <w:left w:val="single" w:sz="8" w:space="0" w:color="auto"/>
              <w:bottom w:val="single" w:sz="8" w:space="0" w:color="000000"/>
              <w:right w:val="nil"/>
            </w:tcBorders>
            <w:vAlign w:val="center"/>
            <w:hideMark/>
          </w:tcPr>
          <w:p w14:paraId="13C56DE6" w14:textId="77777777" w:rsidR="00B65A50" w:rsidRPr="00F041AD" w:rsidRDefault="00B65A50" w:rsidP="0039721D">
            <w:pPr>
              <w:pStyle w:val="5BodyText"/>
              <w:keepNext/>
              <w:keepLines/>
              <w:rPr>
                <w:color w:val="333333" w:themeColor="background1"/>
              </w:rPr>
            </w:pPr>
          </w:p>
        </w:tc>
        <w:tc>
          <w:tcPr>
            <w:tcW w:w="1825" w:type="dxa"/>
            <w:tcBorders>
              <w:top w:val="nil"/>
              <w:left w:val="single" w:sz="4" w:space="0" w:color="auto"/>
              <w:bottom w:val="single" w:sz="4" w:space="0" w:color="auto"/>
              <w:right w:val="single" w:sz="4" w:space="0" w:color="auto"/>
            </w:tcBorders>
            <w:shd w:val="clear" w:color="auto" w:fill="auto"/>
            <w:vAlign w:val="bottom"/>
            <w:hideMark/>
          </w:tcPr>
          <w:p w14:paraId="1815C5C2" w14:textId="77777777" w:rsidR="00B65A50" w:rsidRPr="00F041AD" w:rsidRDefault="00B65A50" w:rsidP="0039721D">
            <w:pPr>
              <w:pStyle w:val="5BodyText"/>
              <w:keepNext/>
              <w:keepLines/>
              <w:rPr>
                <w:color w:val="333333" w:themeColor="background1"/>
              </w:rPr>
            </w:pPr>
            <w:r w:rsidRPr="00F041AD">
              <w:rPr>
                <w:color w:val="333333" w:themeColor="background1"/>
              </w:rPr>
              <w:t>Integrate energy storage and demand response</w:t>
            </w:r>
          </w:p>
        </w:tc>
        <w:tc>
          <w:tcPr>
            <w:tcW w:w="3115" w:type="dxa"/>
            <w:tcBorders>
              <w:top w:val="nil"/>
              <w:left w:val="nil"/>
              <w:bottom w:val="single" w:sz="4" w:space="0" w:color="auto"/>
              <w:right w:val="single" w:sz="4" w:space="0" w:color="auto"/>
            </w:tcBorders>
            <w:shd w:val="clear" w:color="auto" w:fill="auto"/>
            <w:vAlign w:val="bottom"/>
            <w:hideMark/>
          </w:tcPr>
          <w:p w14:paraId="1650559B" w14:textId="77777777" w:rsidR="00B65A50" w:rsidRPr="00F041AD" w:rsidRDefault="00B65A50" w:rsidP="0039721D">
            <w:pPr>
              <w:pStyle w:val="5BodyText"/>
              <w:keepNext/>
              <w:keepLines/>
              <w:rPr>
                <w:color w:val="333333" w:themeColor="background1"/>
              </w:rPr>
            </w:pPr>
            <w:r w:rsidRPr="00F041AD">
              <w:rPr>
                <w:color w:val="333333" w:themeColor="background1"/>
              </w:rPr>
              <w:t>Storage and demand response can reduce peak power demands and customer costs.</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22F0E2A4"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0E33846C"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696BEAB7"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auto"/>
            <w:noWrap/>
            <w:vAlign w:val="bottom"/>
            <w:hideMark/>
          </w:tcPr>
          <w:p w14:paraId="6C185342"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8" w:space="0" w:color="auto"/>
            </w:tcBorders>
            <w:shd w:val="clear" w:color="auto" w:fill="auto"/>
            <w:noWrap/>
            <w:vAlign w:val="bottom"/>
            <w:hideMark/>
          </w:tcPr>
          <w:p w14:paraId="7C3EF093"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r>
      <w:tr w:rsidR="00B65A50" w:rsidRPr="00F041AD" w14:paraId="6B940352" w14:textId="77777777" w:rsidTr="00F26F54">
        <w:trPr>
          <w:trHeight w:val="772"/>
        </w:trPr>
        <w:tc>
          <w:tcPr>
            <w:tcW w:w="620" w:type="dxa"/>
            <w:vMerge/>
            <w:tcBorders>
              <w:top w:val="nil"/>
              <w:left w:val="single" w:sz="8" w:space="0" w:color="auto"/>
              <w:bottom w:val="single" w:sz="8" w:space="0" w:color="000000"/>
              <w:right w:val="nil"/>
            </w:tcBorders>
            <w:vAlign w:val="center"/>
            <w:hideMark/>
          </w:tcPr>
          <w:p w14:paraId="404272E1" w14:textId="77777777" w:rsidR="00B65A50" w:rsidRPr="00F041AD" w:rsidRDefault="00B65A50" w:rsidP="0039721D">
            <w:pPr>
              <w:pStyle w:val="5BodyText"/>
              <w:keepNext/>
              <w:keepLines/>
              <w:rPr>
                <w:color w:val="333333" w:themeColor="background1"/>
              </w:rPr>
            </w:pPr>
          </w:p>
        </w:tc>
        <w:tc>
          <w:tcPr>
            <w:tcW w:w="1825" w:type="dxa"/>
            <w:tcBorders>
              <w:top w:val="nil"/>
              <w:left w:val="single" w:sz="4" w:space="0" w:color="auto"/>
              <w:bottom w:val="single" w:sz="4" w:space="0" w:color="auto"/>
              <w:right w:val="single" w:sz="4" w:space="0" w:color="auto"/>
            </w:tcBorders>
            <w:shd w:val="clear" w:color="auto" w:fill="auto"/>
            <w:vAlign w:val="bottom"/>
            <w:hideMark/>
          </w:tcPr>
          <w:p w14:paraId="503E0B63" w14:textId="77777777" w:rsidR="00B65A50" w:rsidRPr="00F041AD" w:rsidRDefault="00B65A50" w:rsidP="0039721D">
            <w:pPr>
              <w:pStyle w:val="5BodyText"/>
              <w:keepNext/>
              <w:keepLines/>
              <w:rPr>
                <w:color w:val="333333" w:themeColor="background1"/>
              </w:rPr>
            </w:pPr>
            <w:r w:rsidRPr="00F041AD">
              <w:rPr>
                <w:color w:val="333333" w:themeColor="background1"/>
              </w:rPr>
              <w:t>Adopt time-based rates</w:t>
            </w:r>
          </w:p>
        </w:tc>
        <w:tc>
          <w:tcPr>
            <w:tcW w:w="3115" w:type="dxa"/>
            <w:tcBorders>
              <w:top w:val="nil"/>
              <w:left w:val="nil"/>
              <w:bottom w:val="single" w:sz="4" w:space="0" w:color="auto"/>
              <w:right w:val="single" w:sz="4" w:space="0" w:color="auto"/>
            </w:tcBorders>
            <w:shd w:val="clear" w:color="auto" w:fill="auto"/>
            <w:vAlign w:val="bottom"/>
            <w:hideMark/>
          </w:tcPr>
          <w:p w14:paraId="7747B326" w14:textId="77777777" w:rsidR="00B65A50" w:rsidRPr="00F041AD" w:rsidRDefault="00B65A50" w:rsidP="0039721D">
            <w:pPr>
              <w:pStyle w:val="5BodyText"/>
              <w:keepNext/>
              <w:keepLines/>
              <w:rPr>
                <w:color w:val="333333" w:themeColor="background1"/>
              </w:rPr>
            </w:pPr>
            <w:r w:rsidRPr="00F041AD">
              <w:rPr>
                <w:color w:val="333333" w:themeColor="background1"/>
              </w:rPr>
              <w:t>Time-based rates send a signal to customers to limit consumption during peak times.</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14B09F03"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56D0E046"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2638C163"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4" w:space="0" w:color="auto"/>
            </w:tcBorders>
            <w:shd w:val="clear" w:color="auto" w:fill="auto"/>
            <w:noWrap/>
            <w:vAlign w:val="bottom"/>
            <w:hideMark/>
          </w:tcPr>
          <w:p w14:paraId="6A5FB247"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4" w:space="0" w:color="auto"/>
              <w:right w:val="single" w:sz="8" w:space="0" w:color="auto"/>
            </w:tcBorders>
            <w:shd w:val="clear" w:color="auto" w:fill="auto"/>
            <w:noWrap/>
            <w:vAlign w:val="bottom"/>
            <w:hideMark/>
          </w:tcPr>
          <w:p w14:paraId="74473A49"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r>
      <w:tr w:rsidR="00B65A50" w:rsidRPr="00F041AD" w14:paraId="73053758" w14:textId="77777777" w:rsidTr="00F26F54">
        <w:trPr>
          <w:trHeight w:val="860"/>
        </w:trPr>
        <w:tc>
          <w:tcPr>
            <w:tcW w:w="620" w:type="dxa"/>
            <w:vMerge/>
            <w:tcBorders>
              <w:top w:val="nil"/>
              <w:left w:val="single" w:sz="8" w:space="0" w:color="auto"/>
              <w:bottom w:val="single" w:sz="8" w:space="0" w:color="000000"/>
              <w:right w:val="nil"/>
            </w:tcBorders>
            <w:vAlign w:val="center"/>
            <w:hideMark/>
          </w:tcPr>
          <w:p w14:paraId="285043EC" w14:textId="77777777" w:rsidR="00B65A50" w:rsidRPr="00F041AD" w:rsidRDefault="00B65A50" w:rsidP="0039721D">
            <w:pPr>
              <w:pStyle w:val="5BodyText"/>
              <w:keepNext/>
              <w:keepLines/>
              <w:rPr>
                <w:color w:val="333333" w:themeColor="background1"/>
              </w:rPr>
            </w:pPr>
          </w:p>
        </w:tc>
        <w:tc>
          <w:tcPr>
            <w:tcW w:w="1825" w:type="dxa"/>
            <w:tcBorders>
              <w:top w:val="nil"/>
              <w:left w:val="single" w:sz="4" w:space="0" w:color="auto"/>
              <w:bottom w:val="single" w:sz="8" w:space="0" w:color="auto"/>
              <w:right w:val="single" w:sz="4" w:space="0" w:color="auto"/>
            </w:tcBorders>
            <w:shd w:val="clear" w:color="auto" w:fill="auto"/>
            <w:vAlign w:val="bottom"/>
            <w:hideMark/>
          </w:tcPr>
          <w:p w14:paraId="2A4A7433" w14:textId="77777777" w:rsidR="00B65A50" w:rsidRPr="00F041AD" w:rsidRDefault="00B65A50" w:rsidP="0039721D">
            <w:pPr>
              <w:pStyle w:val="5BodyText"/>
              <w:keepNext/>
              <w:keepLines/>
              <w:rPr>
                <w:color w:val="333333" w:themeColor="background1"/>
              </w:rPr>
            </w:pPr>
            <w:r w:rsidRPr="00F041AD">
              <w:rPr>
                <w:color w:val="333333" w:themeColor="background1"/>
              </w:rPr>
              <w:t>Expand and improve utility green energy options</w:t>
            </w:r>
          </w:p>
        </w:tc>
        <w:tc>
          <w:tcPr>
            <w:tcW w:w="3115" w:type="dxa"/>
            <w:tcBorders>
              <w:top w:val="nil"/>
              <w:left w:val="nil"/>
              <w:bottom w:val="single" w:sz="8" w:space="0" w:color="auto"/>
              <w:right w:val="single" w:sz="4" w:space="0" w:color="auto"/>
            </w:tcBorders>
            <w:shd w:val="clear" w:color="auto" w:fill="auto"/>
            <w:vAlign w:val="bottom"/>
            <w:hideMark/>
          </w:tcPr>
          <w:p w14:paraId="05589C9A" w14:textId="77777777" w:rsidR="00B65A50" w:rsidRPr="00F041AD" w:rsidRDefault="00B65A50" w:rsidP="0039721D">
            <w:pPr>
              <w:pStyle w:val="5BodyText"/>
              <w:keepNext/>
              <w:keepLines/>
              <w:rPr>
                <w:color w:val="333333" w:themeColor="background1"/>
              </w:rPr>
            </w:pPr>
            <w:r w:rsidRPr="00F041AD">
              <w:rPr>
                <w:color w:val="333333" w:themeColor="background1"/>
              </w:rPr>
              <w:t>Expanded utility offerings can meet customer demand for green energy.</w:t>
            </w:r>
          </w:p>
        </w:tc>
        <w:tc>
          <w:tcPr>
            <w:tcW w:w="871" w:type="dxa"/>
            <w:tcBorders>
              <w:top w:val="nil"/>
              <w:left w:val="nil"/>
              <w:bottom w:val="single" w:sz="8" w:space="0" w:color="auto"/>
              <w:right w:val="single" w:sz="4" w:space="0" w:color="auto"/>
            </w:tcBorders>
            <w:shd w:val="clear" w:color="000000" w:fill="448027" w:themeFill="accent3" w:themeFillShade="BF"/>
            <w:noWrap/>
            <w:vAlign w:val="bottom"/>
            <w:hideMark/>
          </w:tcPr>
          <w:p w14:paraId="337C6BC8"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8" w:space="0" w:color="auto"/>
              <w:right w:val="single" w:sz="4" w:space="0" w:color="auto"/>
            </w:tcBorders>
            <w:shd w:val="clear" w:color="auto" w:fill="auto"/>
            <w:noWrap/>
            <w:vAlign w:val="bottom"/>
            <w:hideMark/>
          </w:tcPr>
          <w:p w14:paraId="473F9519"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8" w:space="0" w:color="auto"/>
              <w:right w:val="single" w:sz="4" w:space="0" w:color="auto"/>
            </w:tcBorders>
            <w:shd w:val="clear" w:color="auto" w:fill="auto"/>
            <w:noWrap/>
            <w:vAlign w:val="bottom"/>
            <w:hideMark/>
          </w:tcPr>
          <w:p w14:paraId="6D47B7D2"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8" w:space="0" w:color="auto"/>
              <w:right w:val="single" w:sz="4" w:space="0" w:color="auto"/>
            </w:tcBorders>
            <w:shd w:val="clear" w:color="auto" w:fill="auto"/>
            <w:noWrap/>
            <w:vAlign w:val="bottom"/>
            <w:hideMark/>
          </w:tcPr>
          <w:p w14:paraId="7363E806"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c>
          <w:tcPr>
            <w:tcW w:w="871" w:type="dxa"/>
            <w:tcBorders>
              <w:top w:val="nil"/>
              <w:left w:val="nil"/>
              <w:bottom w:val="single" w:sz="8" w:space="0" w:color="auto"/>
              <w:right w:val="single" w:sz="8" w:space="0" w:color="auto"/>
            </w:tcBorders>
            <w:shd w:val="clear" w:color="auto" w:fill="448027" w:themeFill="accent3" w:themeFillShade="BF"/>
            <w:noWrap/>
            <w:vAlign w:val="bottom"/>
          </w:tcPr>
          <w:p w14:paraId="5AC92E61" w14:textId="77777777" w:rsidR="00B65A50" w:rsidRPr="00F041AD" w:rsidRDefault="00B65A50" w:rsidP="0039721D">
            <w:pPr>
              <w:pStyle w:val="5BodyText"/>
              <w:keepNext/>
              <w:keepLines/>
              <w:rPr>
                <w:color w:val="333333" w:themeColor="background1"/>
              </w:rPr>
            </w:pPr>
            <w:r w:rsidRPr="00F041AD">
              <w:rPr>
                <w:color w:val="333333" w:themeColor="background1"/>
              </w:rPr>
              <w:t> </w:t>
            </w:r>
          </w:p>
        </w:tc>
      </w:tr>
    </w:tbl>
    <w:p w14:paraId="2A2931B1" w14:textId="77777777" w:rsidR="00B65A50" w:rsidRPr="00F041AD" w:rsidRDefault="00B65A50" w:rsidP="006D2060">
      <w:pPr>
        <w:pStyle w:val="7Caption"/>
        <w:rPr>
          <w:color w:val="333333" w:themeColor="background1"/>
        </w:rPr>
      </w:pPr>
    </w:p>
    <w:p w14:paraId="09641D8F" w14:textId="77777777" w:rsidR="00B65A50" w:rsidRPr="00F041AD" w:rsidRDefault="00B65A50" w:rsidP="006D2060">
      <w:pPr>
        <w:rPr>
          <w:caps/>
          <w:color w:val="333333" w:themeColor="background1"/>
          <w:sz w:val="16"/>
          <w:szCs w:val="16"/>
        </w:rPr>
      </w:pPr>
      <w:r w:rsidRPr="00F041AD">
        <w:rPr>
          <w:color w:val="333333" w:themeColor="background1"/>
        </w:rPr>
        <w:br w:type="page"/>
      </w:r>
    </w:p>
    <w:p w14:paraId="60CEAAA6" w14:textId="579ED988" w:rsidR="00B65A50" w:rsidRPr="00F041AD" w:rsidRDefault="00B65A50" w:rsidP="006D2060">
      <w:pPr>
        <w:pStyle w:val="7Caption"/>
        <w:rPr>
          <w:color w:val="333333" w:themeColor="background1"/>
        </w:rPr>
      </w:pPr>
      <w:r w:rsidRPr="00F041AD">
        <w:rPr>
          <w:color w:val="333333" w:themeColor="background1"/>
        </w:rPr>
        <w:lastRenderedPageBreak/>
        <w:t xml:space="preserve">Table </w:t>
      </w:r>
      <w:r w:rsidR="0039721D" w:rsidRPr="00F041AD">
        <w:rPr>
          <w:color w:val="333333" w:themeColor="background1"/>
        </w:rPr>
        <w:t>3</w:t>
      </w:r>
      <w:r w:rsidRPr="00F041AD">
        <w:rPr>
          <w:color w:val="333333" w:themeColor="background1"/>
        </w:rPr>
        <w:t xml:space="preserve"> (continued): Strategies and cross-sector opportunities.</w:t>
      </w:r>
    </w:p>
    <w:tbl>
      <w:tblPr>
        <w:tblW w:w="9915" w:type="dxa"/>
        <w:tblInd w:w="93" w:type="dxa"/>
        <w:tblLayout w:type="fixed"/>
        <w:tblLook w:val="04A0" w:firstRow="1" w:lastRow="0" w:firstColumn="1" w:lastColumn="0" w:noHBand="0" w:noVBand="1"/>
      </w:tblPr>
      <w:tblGrid>
        <w:gridCol w:w="620"/>
        <w:gridCol w:w="2200"/>
        <w:gridCol w:w="2740"/>
        <w:gridCol w:w="871"/>
        <w:gridCol w:w="871"/>
        <w:gridCol w:w="871"/>
        <w:gridCol w:w="871"/>
        <w:gridCol w:w="871"/>
      </w:tblGrid>
      <w:tr w:rsidR="00B65A50" w:rsidRPr="00F041AD" w14:paraId="1E237082" w14:textId="77777777" w:rsidTr="00F26F54">
        <w:trPr>
          <w:trHeight w:val="423"/>
        </w:trPr>
        <w:tc>
          <w:tcPr>
            <w:tcW w:w="62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737588E1" w14:textId="77777777" w:rsidR="00B65A50" w:rsidRPr="00F041AD" w:rsidRDefault="00B65A50" w:rsidP="00F26F54">
            <w:pPr>
              <w:keepNext/>
              <w:keepLines/>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2200" w:type="dxa"/>
            <w:tcBorders>
              <w:top w:val="single" w:sz="8" w:space="0" w:color="auto"/>
              <w:left w:val="nil"/>
              <w:bottom w:val="single" w:sz="4" w:space="0" w:color="auto"/>
              <w:right w:val="single" w:sz="4" w:space="0" w:color="auto"/>
            </w:tcBorders>
            <w:shd w:val="clear" w:color="auto" w:fill="auto"/>
            <w:vAlign w:val="bottom"/>
            <w:hideMark/>
          </w:tcPr>
          <w:p w14:paraId="7F111320" w14:textId="77777777" w:rsidR="00B65A50" w:rsidRPr="00F041AD" w:rsidRDefault="00B65A50" w:rsidP="00F26F54">
            <w:pPr>
              <w:keepNext/>
              <w:keepLines/>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2740" w:type="dxa"/>
            <w:tcBorders>
              <w:top w:val="single" w:sz="8" w:space="0" w:color="auto"/>
              <w:left w:val="nil"/>
              <w:bottom w:val="single" w:sz="4" w:space="0" w:color="auto"/>
              <w:right w:val="single" w:sz="4" w:space="0" w:color="auto"/>
            </w:tcBorders>
            <w:shd w:val="clear" w:color="auto" w:fill="auto"/>
            <w:vAlign w:val="bottom"/>
            <w:hideMark/>
          </w:tcPr>
          <w:p w14:paraId="4D17A856" w14:textId="77777777" w:rsidR="00B65A50" w:rsidRPr="00F041AD" w:rsidRDefault="00B65A50" w:rsidP="00F26F54">
            <w:pPr>
              <w:keepNext/>
              <w:keepLines/>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4355" w:type="dxa"/>
            <w:gridSpan w:val="5"/>
            <w:tcBorders>
              <w:top w:val="single" w:sz="8" w:space="0" w:color="auto"/>
              <w:left w:val="nil"/>
              <w:bottom w:val="single" w:sz="4" w:space="0" w:color="auto"/>
              <w:right w:val="single" w:sz="8" w:space="0" w:color="auto"/>
            </w:tcBorders>
            <w:shd w:val="clear" w:color="auto" w:fill="auto"/>
            <w:noWrap/>
            <w:vAlign w:val="bottom"/>
            <w:hideMark/>
          </w:tcPr>
          <w:p w14:paraId="1FA1D2DF" w14:textId="77777777" w:rsidR="00B65A50" w:rsidRPr="00F041AD" w:rsidRDefault="00B65A50" w:rsidP="00F26F54">
            <w:pPr>
              <w:keepNext/>
              <w:keepLines/>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r w:rsidRPr="00F041AD">
              <w:rPr>
                <w:rFonts w:ascii="Calibri" w:eastAsia="Times New Roman" w:hAnsi="Calibri" w:cs="Times New Roman"/>
                <w:b/>
                <w:bCs/>
                <w:color w:val="333333" w:themeColor="background1"/>
                <w:sz w:val="22"/>
                <w:szCs w:val="22"/>
              </w:rPr>
              <w:t>Cross-sector opportunities</w:t>
            </w:r>
            <w:r w:rsidRPr="00F041AD">
              <w:rPr>
                <w:rFonts w:ascii="Calibri" w:eastAsia="Times New Roman" w:hAnsi="Calibri" w:cs="Times New Roman"/>
                <w:color w:val="333333" w:themeColor="background1"/>
                <w:sz w:val="22"/>
                <w:szCs w:val="22"/>
              </w:rPr>
              <w:t> </w:t>
            </w:r>
          </w:p>
        </w:tc>
      </w:tr>
      <w:tr w:rsidR="00B65A50" w:rsidRPr="00F041AD" w14:paraId="7286DBDC" w14:textId="77777777" w:rsidTr="00F26F54">
        <w:trPr>
          <w:trHeight w:val="2020"/>
        </w:trPr>
        <w:tc>
          <w:tcPr>
            <w:tcW w:w="620" w:type="dxa"/>
            <w:tcBorders>
              <w:top w:val="nil"/>
              <w:left w:val="single" w:sz="8" w:space="0" w:color="auto"/>
              <w:bottom w:val="single" w:sz="8" w:space="0" w:color="auto"/>
              <w:right w:val="nil"/>
            </w:tcBorders>
            <w:shd w:val="clear" w:color="auto" w:fill="auto"/>
            <w:textDirection w:val="btLr"/>
            <w:vAlign w:val="bottom"/>
            <w:hideMark/>
          </w:tcPr>
          <w:p w14:paraId="509FE73E" w14:textId="77777777" w:rsidR="00B65A50" w:rsidRPr="00F041AD" w:rsidRDefault="00B65A50" w:rsidP="00F26F54">
            <w:pPr>
              <w:pStyle w:val="5BodyText"/>
              <w:rPr>
                <w:color w:val="333333" w:themeColor="background1"/>
              </w:rPr>
            </w:pPr>
            <w:r w:rsidRPr="00F041AD">
              <w:rPr>
                <w:color w:val="333333" w:themeColor="background1"/>
              </w:rPr>
              <w:t>Sector</w:t>
            </w:r>
          </w:p>
        </w:tc>
        <w:tc>
          <w:tcPr>
            <w:tcW w:w="2200" w:type="dxa"/>
            <w:tcBorders>
              <w:top w:val="nil"/>
              <w:left w:val="single" w:sz="4" w:space="0" w:color="auto"/>
              <w:bottom w:val="single" w:sz="8" w:space="0" w:color="auto"/>
              <w:right w:val="nil"/>
            </w:tcBorders>
            <w:shd w:val="clear" w:color="auto" w:fill="auto"/>
            <w:vAlign w:val="bottom"/>
            <w:hideMark/>
          </w:tcPr>
          <w:p w14:paraId="21772252" w14:textId="77777777" w:rsidR="00B65A50" w:rsidRPr="00F041AD" w:rsidRDefault="00B65A50" w:rsidP="00F26F54">
            <w:pPr>
              <w:pStyle w:val="5BodyText"/>
              <w:rPr>
                <w:color w:val="333333" w:themeColor="background1"/>
              </w:rPr>
            </w:pPr>
            <w:r w:rsidRPr="00F041AD">
              <w:rPr>
                <w:color w:val="333333" w:themeColor="background1"/>
              </w:rPr>
              <w:t>Strategy</w:t>
            </w:r>
          </w:p>
        </w:tc>
        <w:tc>
          <w:tcPr>
            <w:tcW w:w="2740" w:type="dxa"/>
            <w:tcBorders>
              <w:top w:val="nil"/>
              <w:left w:val="single" w:sz="4" w:space="0" w:color="auto"/>
              <w:bottom w:val="single" w:sz="8" w:space="0" w:color="auto"/>
              <w:right w:val="nil"/>
            </w:tcBorders>
            <w:shd w:val="clear" w:color="auto" w:fill="auto"/>
            <w:vAlign w:val="bottom"/>
            <w:hideMark/>
          </w:tcPr>
          <w:p w14:paraId="726C73BC" w14:textId="77777777" w:rsidR="00B65A50" w:rsidRPr="00F041AD" w:rsidRDefault="00B65A50" w:rsidP="00F26F54">
            <w:pPr>
              <w:pStyle w:val="5BodyText"/>
              <w:rPr>
                <w:color w:val="333333" w:themeColor="background1"/>
              </w:rPr>
            </w:pPr>
            <w:r w:rsidRPr="00F041AD">
              <w:rPr>
                <w:color w:val="333333" w:themeColor="background1"/>
              </w:rPr>
              <w:t>Purpose</w:t>
            </w:r>
          </w:p>
        </w:tc>
        <w:tc>
          <w:tcPr>
            <w:tcW w:w="87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45A0EC3B" w14:textId="77777777" w:rsidR="00B65A50" w:rsidRPr="00F041AD" w:rsidRDefault="00B65A50" w:rsidP="00F26F54">
            <w:pPr>
              <w:pStyle w:val="5BodyText"/>
              <w:rPr>
                <w:color w:val="333333" w:themeColor="background1"/>
              </w:rPr>
            </w:pPr>
            <w:r w:rsidRPr="00F041AD">
              <w:rPr>
                <w:color w:val="333333" w:themeColor="background1"/>
              </w:rPr>
              <w:t>Transportation</w:t>
            </w:r>
          </w:p>
        </w:tc>
        <w:tc>
          <w:tcPr>
            <w:tcW w:w="8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499373DE" w14:textId="77777777" w:rsidR="00B65A50" w:rsidRPr="00F041AD" w:rsidRDefault="00B65A50" w:rsidP="00F26F54">
            <w:pPr>
              <w:pStyle w:val="5BodyText"/>
              <w:rPr>
                <w:color w:val="333333" w:themeColor="background1"/>
              </w:rPr>
            </w:pPr>
            <w:r w:rsidRPr="00F041AD">
              <w:rPr>
                <w:color w:val="333333" w:themeColor="background1"/>
              </w:rPr>
              <w:t>Energy Supply and</w:t>
            </w:r>
          </w:p>
          <w:p w14:paraId="38D0DCB9" w14:textId="77777777" w:rsidR="00B65A50" w:rsidRPr="00F041AD" w:rsidRDefault="00B65A50" w:rsidP="00F26F54">
            <w:pPr>
              <w:pStyle w:val="5BodyText"/>
              <w:rPr>
                <w:color w:val="333333" w:themeColor="background1"/>
              </w:rPr>
            </w:pPr>
            <w:r w:rsidRPr="00F041AD">
              <w:rPr>
                <w:color w:val="333333" w:themeColor="background1"/>
              </w:rPr>
              <w:t>Grid Modernization</w:t>
            </w:r>
          </w:p>
        </w:tc>
        <w:tc>
          <w:tcPr>
            <w:tcW w:w="8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3FB06D37" w14:textId="77777777" w:rsidR="00B65A50" w:rsidRPr="00F041AD" w:rsidRDefault="00B65A50" w:rsidP="00F26F54">
            <w:pPr>
              <w:pStyle w:val="5BodyText"/>
              <w:rPr>
                <w:color w:val="333333" w:themeColor="background1"/>
              </w:rPr>
            </w:pPr>
            <w:r w:rsidRPr="00F041AD">
              <w:rPr>
                <w:color w:val="333333" w:themeColor="background1"/>
              </w:rPr>
              <w:t>Efficient Buildings</w:t>
            </w:r>
          </w:p>
          <w:p w14:paraId="6E5A9FCF" w14:textId="49AE775D" w:rsidR="00B65A50" w:rsidRPr="00F041AD" w:rsidRDefault="00B65A50" w:rsidP="003333D6">
            <w:pPr>
              <w:pStyle w:val="5BodyText"/>
              <w:rPr>
                <w:color w:val="333333" w:themeColor="background1"/>
              </w:rPr>
            </w:pPr>
            <w:r w:rsidRPr="00F041AD">
              <w:rPr>
                <w:color w:val="333333" w:themeColor="background1"/>
              </w:rPr>
              <w:t>and Integrated Energy Systems</w:t>
            </w:r>
          </w:p>
        </w:tc>
        <w:tc>
          <w:tcPr>
            <w:tcW w:w="8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25B1B752" w14:textId="77777777" w:rsidR="00B65A50" w:rsidRPr="00F041AD" w:rsidRDefault="00B65A50" w:rsidP="00F26F54">
            <w:pPr>
              <w:pStyle w:val="5BodyText"/>
              <w:rPr>
                <w:color w:val="333333" w:themeColor="background1"/>
              </w:rPr>
            </w:pPr>
            <w:r w:rsidRPr="00F041AD">
              <w:rPr>
                <w:color w:val="333333" w:themeColor="background1"/>
              </w:rPr>
              <w:t>Industrial and</w:t>
            </w:r>
          </w:p>
          <w:p w14:paraId="2DD286A7" w14:textId="77777777" w:rsidR="00B65A50" w:rsidRPr="00F041AD" w:rsidRDefault="00B65A50" w:rsidP="00F26F54">
            <w:pPr>
              <w:pStyle w:val="5BodyText"/>
              <w:rPr>
                <w:color w:val="333333" w:themeColor="background1"/>
              </w:rPr>
            </w:pPr>
            <w:r w:rsidRPr="00F041AD">
              <w:rPr>
                <w:color w:val="333333" w:themeColor="background1"/>
              </w:rPr>
              <w:t>Agricultural Sectors</w:t>
            </w:r>
          </w:p>
        </w:tc>
        <w:tc>
          <w:tcPr>
            <w:tcW w:w="871" w:type="dxa"/>
            <w:tcBorders>
              <w:top w:val="single" w:sz="4" w:space="0" w:color="auto"/>
              <w:left w:val="nil"/>
              <w:bottom w:val="single" w:sz="4" w:space="0" w:color="auto"/>
              <w:right w:val="single" w:sz="8" w:space="0" w:color="auto"/>
            </w:tcBorders>
            <w:shd w:val="clear" w:color="auto" w:fill="auto"/>
            <w:textDirection w:val="btLr"/>
            <w:vAlign w:val="bottom"/>
            <w:hideMark/>
          </w:tcPr>
          <w:p w14:paraId="0084818C" w14:textId="77777777" w:rsidR="00B65A50" w:rsidRPr="00F041AD" w:rsidRDefault="00B65A50" w:rsidP="00F26F54">
            <w:pPr>
              <w:pStyle w:val="5BodyText"/>
              <w:rPr>
                <w:color w:val="333333" w:themeColor="background1"/>
              </w:rPr>
            </w:pPr>
            <w:r w:rsidRPr="00F041AD">
              <w:rPr>
                <w:color w:val="333333" w:themeColor="background1"/>
              </w:rPr>
              <w:t>Local Planning</w:t>
            </w:r>
          </w:p>
          <w:p w14:paraId="766A9945" w14:textId="77777777" w:rsidR="00B65A50" w:rsidRPr="00F041AD" w:rsidRDefault="00B65A50" w:rsidP="00F26F54">
            <w:pPr>
              <w:pStyle w:val="5BodyText"/>
              <w:rPr>
                <w:color w:val="333333" w:themeColor="background1"/>
              </w:rPr>
            </w:pPr>
            <w:r w:rsidRPr="00F041AD">
              <w:rPr>
                <w:color w:val="333333" w:themeColor="background1"/>
              </w:rPr>
              <w:t>and Action</w:t>
            </w:r>
          </w:p>
        </w:tc>
      </w:tr>
      <w:tr w:rsidR="00B65A50" w:rsidRPr="00F041AD" w14:paraId="3A8A8DCC" w14:textId="77777777" w:rsidTr="00F26F54">
        <w:trPr>
          <w:trHeight w:val="1120"/>
        </w:trPr>
        <w:tc>
          <w:tcPr>
            <w:tcW w:w="620" w:type="dxa"/>
            <w:vMerge w:val="restart"/>
            <w:tcBorders>
              <w:top w:val="nil"/>
              <w:left w:val="single" w:sz="8" w:space="0" w:color="auto"/>
              <w:bottom w:val="single" w:sz="8" w:space="0" w:color="000000"/>
              <w:right w:val="nil"/>
            </w:tcBorders>
            <w:shd w:val="clear" w:color="auto" w:fill="auto"/>
            <w:textDirection w:val="btLr"/>
            <w:vAlign w:val="center"/>
            <w:hideMark/>
          </w:tcPr>
          <w:p w14:paraId="3AAD6C9A" w14:textId="5F2A58AF" w:rsidR="00B65A50" w:rsidRPr="00F041AD" w:rsidRDefault="00B65A50" w:rsidP="003333D6">
            <w:pPr>
              <w:pStyle w:val="5BodyText"/>
              <w:rPr>
                <w:color w:val="333333" w:themeColor="background1"/>
              </w:rPr>
            </w:pPr>
            <w:r w:rsidRPr="00F041AD">
              <w:rPr>
                <w:color w:val="333333" w:themeColor="background1"/>
              </w:rPr>
              <w:t>Efficient Buildings and Integrated Energy Systems</w:t>
            </w:r>
          </w:p>
        </w:tc>
        <w:tc>
          <w:tcPr>
            <w:tcW w:w="2200" w:type="dxa"/>
            <w:tcBorders>
              <w:top w:val="nil"/>
              <w:left w:val="single" w:sz="4" w:space="0" w:color="auto"/>
              <w:bottom w:val="single" w:sz="4" w:space="0" w:color="auto"/>
              <w:right w:val="single" w:sz="4" w:space="0" w:color="auto"/>
            </w:tcBorders>
            <w:shd w:val="clear" w:color="auto" w:fill="auto"/>
            <w:vAlign w:val="bottom"/>
            <w:hideMark/>
          </w:tcPr>
          <w:p w14:paraId="2A2C1628" w14:textId="1B6419D6" w:rsidR="00B65A50" w:rsidRPr="00F041AD" w:rsidRDefault="00B65A50" w:rsidP="00172DC8">
            <w:pPr>
              <w:pStyle w:val="5BodyText"/>
              <w:rPr>
                <w:color w:val="333333" w:themeColor="background1"/>
              </w:rPr>
            </w:pPr>
            <w:r w:rsidRPr="00F041AD">
              <w:rPr>
                <w:color w:val="333333" w:themeColor="background1"/>
              </w:rPr>
              <w:t xml:space="preserve">Adopt </w:t>
            </w:r>
            <w:r w:rsidR="00172DC8" w:rsidRPr="00F041AD">
              <w:rPr>
                <w:color w:val="333333" w:themeColor="background1"/>
              </w:rPr>
              <w:t>SB 2030 as an optional stretch code</w:t>
            </w:r>
          </w:p>
        </w:tc>
        <w:tc>
          <w:tcPr>
            <w:tcW w:w="2740" w:type="dxa"/>
            <w:tcBorders>
              <w:top w:val="nil"/>
              <w:left w:val="nil"/>
              <w:bottom w:val="single" w:sz="4" w:space="0" w:color="auto"/>
              <w:right w:val="single" w:sz="4" w:space="0" w:color="auto"/>
            </w:tcBorders>
            <w:shd w:val="clear" w:color="auto" w:fill="auto"/>
            <w:vAlign w:val="bottom"/>
            <w:hideMark/>
          </w:tcPr>
          <w:p w14:paraId="785AB792" w14:textId="77777777" w:rsidR="00B65A50" w:rsidRPr="00F041AD" w:rsidRDefault="00B65A50" w:rsidP="00F26F54">
            <w:pPr>
              <w:pStyle w:val="5BodyText"/>
              <w:rPr>
                <w:color w:val="333333" w:themeColor="background1"/>
              </w:rPr>
            </w:pPr>
            <w:r w:rsidRPr="00F041AD">
              <w:rPr>
                <w:color w:val="333333" w:themeColor="background1"/>
              </w:rPr>
              <w:t>Zero energy and low-energy options reduce energy use in buildings.</w:t>
            </w:r>
          </w:p>
        </w:tc>
        <w:tc>
          <w:tcPr>
            <w:tcW w:w="871" w:type="dxa"/>
            <w:tcBorders>
              <w:top w:val="nil"/>
              <w:left w:val="nil"/>
              <w:bottom w:val="single" w:sz="4" w:space="0" w:color="auto"/>
              <w:right w:val="single" w:sz="4" w:space="0" w:color="auto"/>
            </w:tcBorders>
            <w:shd w:val="clear" w:color="auto" w:fill="auto"/>
            <w:noWrap/>
            <w:vAlign w:val="bottom"/>
            <w:hideMark/>
          </w:tcPr>
          <w:p w14:paraId="4B416156"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263FFF7A"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0038BFFE"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1C2A307E"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8" w:space="0" w:color="auto"/>
            </w:tcBorders>
            <w:shd w:val="clear" w:color="000000" w:fill="448027" w:themeFill="accent3" w:themeFillShade="BF"/>
            <w:noWrap/>
            <w:vAlign w:val="bottom"/>
            <w:hideMark/>
          </w:tcPr>
          <w:p w14:paraId="1993149D"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09F893C8" w14:textId="77777777" w:rsidTr="00F26F54">
        <w:trPr>
          <w:trHeight w:val="1400"/>
        </w:trPr>
        <w:tc>
          <w:tcPr>
            <w:tcW w:w="620" w:type="dxa"/>
            <w:vMerge/>
            <w:tcBorders>
              <w:top w:val="nil"/>
              <w:left w:val="single" w:sz="8" w:space="0" w:color="auto"/>
              <w:bottom w:val="single" w:sz="8" w:space="0" w:color="000000"/>
              <w:right w:val="nil"/>
            </w:tcBorders>
            <w:vAlign w:val="center"/>
            <w:hideMark/>
          </w:tcPr>
          <w:p w14:paraId="706E9EE0" w14:textId="77777777" w:rsidR="00B65A50" w:rsidRPr="00F041AD" w:rsidRDefault="00B65A50" w:rsidP="00F26F54">
            <w:pPr>
              <w:pStyle w:val="5BodyText"/>
              <w:rPr>
                <w:color w:val="333333" w:themeColor="background1"/>
              </w:rPr>
            </w:pPr>
          </w:p>
        </w:tc>
        <w:tc>
          <w:tcPr>
            <w:tcW w:w="2200" w:type="dxa"/>
            <w:tcBorders>
              <w:top w:val="nil"/>
              <w:left w:val="single" w:sz="4" w:space="0" w:color="auto"/>
              <w:bottom w:val="single" w:sz="4" w:space="0" w:color="auto"/>
              <w:right w:val="single" w:sz="4" w:space="0" w:color="auto"/>
            </w:tcBorders>
            <w:shd w:val="clear" w:color="auto" w:fill="auto"/>
            <w:vAlign w:val="bottom"/>
            <w:hideMark/>
          </w:tcPr>
          <w:p w14:paraId="5ED1FA6C" w14:textId="7E6AF419" w:rsidR="00B65A50" w:rsidRPr="00F041AD" w:rsidRDefault="00B65A50" w:rsidP="0056169F">
            <w:pPr>
              <w:pStyle w:val="5BodyText"/>
              <w:rPr>
                <w:color w:val="333333" w:themeColor="background1"/>
              </w:rPr>
            </w:pPr>
            <w:r w:rsidRPr="00F041AD">
              <w:rPr>
                <w:color w:val="333333" w:themeColor="background1"/>
              </w:rPr>
              <w:t xml:space="preserve">Enhance energy data access </w:t>
            </w:r>
          </w:p>
        </w:tc>
        <w:tc>
          <w:tcPr>
            <w:tcW w:w="2740" w:type="dxa"/>
            <w:tcBorders>
              <w:top w:val="nil"/>
              <w:left w:val="nil"/>
              <w:bottom w:val="single" w:sz="4" w:space="0" w:color="auto"/>
              <w:right w:val="single" w:sz="4" w:space="0" w:color="auto"/>
            </w:tcBorders>
            <w:shd w:val="clear" w:color="auto" w:fill="auto"/>
            <w:vAlign w:val="bottom"/>
            <w:hideMark/>
          </w:tcPr>
          <w:p w14:paraId="3880F599" w14:textId="77777777" w:rsidR="00B65A50" w:rsidRPr="00F041AD" w:rsidRDefault="00B65A50" w:rsidP="00F26F54">
            <w:pPr>
              <w:pStyle w:val="5BodyText"/>
              <w:rPr>
                <w:color w:val="333333" w:themeColor="background1"/>
              </w:rPr>
            </w:pPr>
            <w:r w:rsidRPr="00F041AD">
              <w:rPr>
                <w:color w:val="333333" w:themeColor="background1"/>
              </w:rPr>
              <w:t>Access to standardized energy data allows customers to make informed decisions about their energy use.</w:t>
            </w:r>
          </w:p>
        </w:tc>
        <w:tc>
          <w:tcPr>
            <w:tcW w:w="871" w:type="dxa"/>
            <w:tcBorders>
              <w:top w:val="nil"/>
              <w:left w:val="nil"/>
              <w:bottom w:val="single" w:sz="4" w:space="0" w:color="auto"/>
              <w:right w:val="single" w:sz="4" w:space="0" w:color="auto"/>
            </w:tcBorders>
            <w:shd w:val="clear" w:color="auto" w:fill="auto"/>
            <w:noWrap/>
            <w:vAlign w:val="bottom"/>
            <w:hideMark/>
          </w:tcPr>
          <w:p w14:paraId="465ACBCB"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24490317"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200842C1"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77F59ED5"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8" w:space="0" w:color="auto"/>
            </w:tcBorders>
            <w:shd w:val="clear" w:color="000000" w:fill="448027" w:themeFill="accent3" w:themeFillShade="BF"/>
            <w:noWrap/>
            <w:vAlign w:val="bottom"/>
            <w:hideMark/>
          </w:tcPr>
          <w:p w14:paraId="24DB3E7A"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7EA3D124" w14:textId="77777777" w:rsidTr="00F26F54">
        <w:trPr>
          <w:trHeight w:val="1120"/>
        </w:trPr>
        <w:tc>
          <w:tcPr>
            <w:tcW w:w="620" w:type="dxa"/>
            <w:vMerge/>
            <w:tcBorders>
              <w:top w:val="nil"/>
              <w:left w:val="single" w:sz="8" w:space="0" w:color="auto"/>
              <w:bottom w:val="single" w:sz="8" w:space="0" w:color="000000"/>
              <w:right w:val="nil"/>
            </w:tcBorders>
            <w:vAlign w:val="center"/>
            <w:hideMark/>
          </w:tcPr>
          <w:p w14:paraId="204A21BF" w14:textId="77777777" w:rsidR="00B65A50" w:rsidRPr="00F041AD" w:rsidRDefault="00B65A50" w:rsidP="00F26F54">
            <w:pPr>
              <w:pStyle w:val="5BodyText"/>
              <w:rPr>
                <w:color w:val="333333" w:themeColor="background1"/>
              </w:rPr>
            </w:pPr>
          </w:p>
        </w:tc>
        <w:tc>
          <w:tcPr>
            <w:tcW w:w="2200" w:type="dxa"/>
            <w:tcBorders>
              <w:top w:val="nil"/>
              <w:left w:val="single" w:sz="4" w:space="0" w:color="auto"/>
              <w:bottom w:val="single" w:sz="4" w:space="0" w:color="auto"/>
              <w:right w:val="single" w:sz="4" w:space="0" w:color="auto"/>
            </w:tcBorders>
            <w:shd w:val="clear" w:color="auto" w:fill="auto"/>
            <w:vAlign w:val="bottom"/>
            <w:hideMark/>
          </w:tcPr>
          <w:p w14:paraId="56FD57CE" w14:textId="68236468" w:rsidR="00B65A50" w:rsidRPr="00F041AD" w:rsidRDefault="00B65A50" w:rsidP="00F26F54">
            <w:pPr>
              <w:pStyle w:val="5BodyText"/>
              <w:rPr>
                <w:color w:val="333333" w:themeColor="background1"/>
              </w:rPr>
            </w:pPr>
            <w:r w:rsidRPr="00F041AD">
              <w:rPr>
                <w:color w:val="333333" w:themeColor="background1"/>
              </w:rPr>
              <w:t xml:space="preserve">Increase adoption of </w:t>
            </w:r>
            <w:r w:rsidR="0056169F" w:rsidRPr="00F041AD">
              <w:rPr>
                <w:color w:val="333333" w:themeColor="background1"/>
              </w:rPr>
              <w:t xml:space="preserve">commercial </w:t>
            </w:r>
            <w:r w:rsidRPr="00F041AD">
              <w:rPr>
                <w:color w:val="333333" w:themeColor="background1"/>
              </w:rPr>
              <w:t>building energy benchmarking and disclosure programs</w:t>
            </w:r>
          </w:p>
        </w:tc>
        <w:tc>
          <w:tcPr>
            <w:tcW w:w="2740" w:type="dxa"/>
            <w:tcBorders>
              <w:top w:val="nil"/>
              <w:left w:val="nil"/>
              <w:bottom w:val="single" w:sz="4" w:space="0" w:color="auto"/>
              <w:right w:val="single" w:sz="4" w:space="0" w:color="auto"/>
            </w:tcBorders>
            <w:shd w:val="clear" w:color="auto" w:fill="auto"/>
            <w:vAlign w:val="bottom"/>
            <w:hideMark/>
          </w:tcPr>
          <w:p w14:paraId="501E553F" w14:textId="77777777" w:rsidR="00B65A50" w:rsidRPr="00F041AD" w:rsidRDefault="00B65A50" w:rsidP="00F26F54">
            <w:pPr>
              <w:pStyle w:val="5BodyText"/>
              <w:rPr>
                <w:color w:val="333333" w:themeColor="background1"/>
              </w:rPr>
            </w:pPr>
            <w:r w:rsidRPr="00F041AD">
              <w:rPr>
                <w:color w:val="333333" w:themeColor="background1"/>
              </w:rPr>
              <w:t>Benchmarking and disclosure programs can enable energy savings in existing buildings.</w:t>
            </w:r>
          </w:p>
        </w:tc>
        <w:tc>
          <w:tcPr>
            <w:tcW w:w="871" w:type="dxa"/>
            <w:tcBorders>
              <w:top w:val="nil"/>
              <w:left w:val="nil"/>
              <w:bottom w:val="single" w:sz="4" w:space="0" w:color="auto"/>
              <w:right w:val="single" w:sz="4" w:space="0" w:color="auto"/>
            </w:tcBorders>
            <w:shd w:val="clear" w:color="auto" w:fill="auto"/>
            <w:noWrap/>
            <w:vAlign w:val="bottom"/>
            <w:hideMark/>
          </w:tcPr>
          <w:p w14:paraId="36B942CE"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7C44A868"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70FD9A3C"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4C12E4C2"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8" w:space="0" w:color="auto"/>
            </w:tcBorders>
            <w:shd w:val="clear" w:color="000000" w:fill="448027" w:themeFill="accent3" w:themeFillShade="BF"/>
            <w:noWrap/>
            <w:vAlign w:val="bottom"/>
            <w:hideMark/>
          </w:tcPr>
          <w:p w14:paraId="0BDED526"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69933E1E" w14:textId="77777777" w:rsidTr="00F26F54">
        <w:trPr>
          <w:trHeight w:val="840"/>
        </w:trPr>
        <w:tc>
          <w:tcPr>
            <w:tcW w:w="620" w:type="dxa"/>
            <w:vMerge/>
            <w:tcBorders>
              <w:top w:val="nil"/>
              <w:left w:val="single" w:sz="8" w:space="0" w:color="auto"/>
              <w:bottom w:val="single" w:sz="8" w:space="0" w:color="000000"/>
              <w:right w:val="nil"/>
            </w:tcBorders>
            <w:vAlign w:val="center"/>
            <w:hideMark/>
          </w:tcPr>
          <w:p w14:paraId="6D9B5713" w14:textId="77777777" w:rsidR="00B65A50" w:rsidRPr="00F041AD" w:rsidRDefault="00B65A50" w:rsidP="00F26F54">
            <w:pPr>
              <w:pStyle w:val="5BodyText"/>
              <w:rPr>
                <w:color w:val="333333" w:themeColor="background1"/>
              </w:rPr>
            </w:pPr>
          </w:p>
        </w:tc>
        <w:tc>
          <w:tcPr>
            <w:tcW w:w="2200" w:type="dxa"/>
            <w:tcBorders>
              <w:top w:val="nil"/>
              <w:left w:val="single" w:sz="4" w:space="0" w:color="auto"/>
              <w:bottom w:val="single" w:sz="4" w:space="0" w:color="auto"/>
              <w:right w:val="single" w:sz="4" w:space="0" w:color="auto"/>
            </w:tcBorders>
            <w:shd w:val="clear" w:color="auto" w:fill="auto"/>
            <w:vAlign w:val="bottom"/>
            <w:hideMark/>
          </w:tcPr>
          <w:p w14:paraId="7B685D9F" w14:textId="30CFD767" w:rsidR="00B65A50" w:rsidRPr="00F041AD" w:rsidRDefault="00B65A50" w:rsidP="00F26F54">
            <w:pPr>
              <w:pStyle w:val="5BodyText"/>
              <w:rPr>
                <w:color w:val="333333" w:themeColor="background1"/>
              </w:rPr>
            </w:pPr>
            <w:r w:rsidRPr="00F041AD">
              <w:rPr>
                <w:color w:val="333333" w:themeColor="background1"/>
              </w:rPr>
              <w:t>Improve building operations</w:t>
            </w:r>
            <w:r w:rsidR="0056169F" w:rsidRPr="00F041AD">
              <w:rPr>
                <w:color w:val="333333" w:themeColor="background1"/>
              </w:rPr>
              <w:t xml:space="preserve"> to capture energy efficiency opportunities</w:t>
            </w:r>
          </w:p>
        </w:tc>
        <w:tc>
          <w:tcPr>
            <w:tcW w:w="2740" w:type="dxa"/>
            <w:tcBorders>
              <w:top w:val="nil"/>
              <w:left w:val="nil"/>
              <w:bottom w:val="single" w:sz="4" w:space="0" w:color="auto"/>
              <w:right w:val="single" w:sz="4" w:space="0" w:color="auto"/>
            </w:tcBorders>
            <w:shd w:val="clear" w:color="auto" w:fill="auto"/>
            <w:vAlign w:val="bottom"/>
            <w:hideMark/>
          </w:tcPr>
          <w:p w14:paraId="6DDCA85A" w14:textId="77777777" w:rsidR="00B65A50" w:rsidRPr="00F041AD" w:rsidRDefault="00B65A50" w:rsidP="00F26F54">
            <w:pPr>
              <w:pStyle w:val="5BodyText"/>
              <w:rPr>
                <w:color w:val="333333" w:themeColor="background1"/>
              </w:rPr>
            </w:pPr>
            <w:r w:rsidRPr="00F041AD">
              <w:rPr>
                <w:color w:val="333333" w:themeColor="background1"/>
              </w:rPr>
              <w:t>Building operators ensure that buildings perform efficiently and as designed.</w:t>
            </w:r>
          </w:p>
        </w:tc>
        <w:tc>
          <w:tcPr>
            <w:tcW w:w="871" w:type="dxa"/>
            <w:tcBorders>
              <w:top w:val="nil"/>
              <w:left w:val="nil"/>
              <w:bottom w:val="single" w:sz="4" w:space="0" w:color="auto"/>
              <w:right w:val="single" w:sz="4" w:space="0" w:color="auto"/>
            </w:tcBorders>
            <w:shd w:val="clear" w:color="auto" w:fill="auto"/>
            <w:noWrap/>
            <w:vAlign w:val="bottom"/>
            <w:hideMark/>
          </w:tcPr>
          <w:p w14:paraId="45336DD2"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6108E522"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2D4B2D02"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380A6F88"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8" w:space="0" w:color="auto"/>
            </w:tcBorders>
            <w:shd w:val="clear" w:color="auto" w:fill="auto"/>
            <w:noWrap/>
            <w:vAlign w:val="bottom"/>
            <w:hideMark/>
          </w:tcPr>
          <w:p w14:paraId="03658B07"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7346278F" w14:textId="77777777" w:rsidTr="00F26F54">
        <w:trPr>
          <w:trHeight w:val="840"/>
        </w:trPr>
        <w:tc>
          <w:tcPr>
            <w:tcW w:w="620" w:type="dxa"/>
            <w:vMerge/>
            <w:tcBorders>
              <w:top w:val="nil"/>
              <w:left w:val="single" w:sz="8" w:space="0" w:color="auto"/>
              <w:bottom w:val="single" w:sz="8" w:space="0" w:color="000000"/>
              <w:right w:val="nil"/>
            </w:tcBorders>
            <w:vAlign w:val="center"/>
            <w:hideMark/>
          </w:tcPr>
          <w:p w14:paraId="50C2F60A" w14:textId="77777777" w:rsidR="00B65A50" w:rsidRPr="00F041AD" w:rsidRDefault="00B65A50" w:rsidP="00F26F54">
            <w:pPr>
              <w:pStyle w:val="5BodyText"/>
              <w:rPr>
                <w:color w:val="333333" w:themeColor="background1"/>
              </w:rPr>
            </w:pPr>
          </w:p>
        </w:tc>
        <w:tc>
          <w:tcPr>
            <w:tcW w:w="2200" w:type="dxa"/>
            <w:tcBorders>
              <w:top w:val="nil"/>
              <w:left w:val="single" w:sz="4" w:space="0" w:color="auto"/>
              <w:bottom w:val="single" w:sz="4" w:space="0" w:color="auto"/>
              <w:right w:val="single" w:sz="4" w:space="0" w:color="auto"/>
            </w:tcBorders>
            <w:shd w:val="clear" w:color="auto" w:fill="auto"/>
            <w:vAlign w:val="bottom"/>
            <w:hideMark/>
          </w:tcPr>
          <w:p w14:paraId="6265C21C" w14:textId="77777777" w:rsidR="00B65A50" w:rsidRPr="00F041AD" w:rsidRDefault="00B65A50" w:rsidP="00F26F54">
            <w:pPr>
              <w:pStyle w:val="5BodyText"/>
              <w:rPr>
                <w:color w:val="333333" w:themeColor="background1"/>
              </w:rPr>
            </w:pPr>
            <w:r w:rsidRPr="00F041AD">
              <w:rPr>
                <w:color w:val="333333" w:themeColor="background1"/>
              </w:rPr>
              <w:t>Promote behavioral energy efficiency strategies</w:t>
            </w:r>
          </w:p>
        </w:tc>
        <w:tc>
          <w:tcPr>
            <w:tcW w:w="2740" w:type="dxa"/>
            <w:tcBorders>
              <w:top w:val="nil"/>
              <w:left w:val="nil"/>
              <w:bottom w:val="single" w:sz="4" w:space="0" w:color="auto"/>
              <w:right w:val="single" w:sz="4" w:space="0" w:color="auto"/>
            </w:tcBorders>
            <w:shd w:val="clear" w:color="auto" w:fill="auto"/>
            <w:vAlign w:val="bottom"/>
            <w:hideMark/>
          </w:tcPr>
          <w:p w14:paraId="74D49C43" w14:textId="77777777" w:rsidR="00B65A50" w:rsidRPr="00F041AD" w:rsidRDefault="00B65A50" w:rsidP="00F26F54">
            <w:pPr>
              <w:pStyle w:val="5BodyText"/>
              <w:rPr>
                <w:color w:val="333333" w:themeColor="background1"/>
              </w:rPr>
            </w:pPr>
            <w:r w:rsidRPr="00F041AD">
              <w:rPr>
                <w:color w:val="333333" w:themeColor="background1"/>
              </w:rPr>
              <w:t>Non-financial motivators can lead to energy savings.</w:t>
            </w:r>
          </w:p>
        </w:tc>
        <w:tc>
          <w:tcPr>
            <w:tcW w:w="871" w:type="dxa"/>
            <w:tcBorders>
              <w:top w:val="nil"/>
              <w:left w:val="nil"/>
              <w:bottom w:val="single" w:sz="4" w:space="0" w:color="auto"/>
              <w:right w:val="single" w:sz="4" w:space="0" w:color="auto"/>
            </w:tcBorders>
            <w:shd w:val="clear" w:color="auto" w:fill="auto"/>
            <w:noWrap/>
            <w:vAlign w:val="bottom"/>
            <w:hideMark/>
          </w:tcPr>
          <w:p w14:paraId="1B7BAC5B"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728FD5D4"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130B1DC1"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2C8132C8"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8" w:space="0" w:color="auto"/>
            </w:tcBorders>
            <w:shd w:val="clear" w:color="000000" w:fill="448027" w:themeFill="accent3" w:themeFillShade="BF"/>
            <w:noWrap/>
            <w:vAlign w:val="bottom"/>
            <w:hideMark/>
          </w:tcPr>
          <w:p w14:paraId="7385E8F0"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0DBF3C0C" w14:textId="77777777" w:rsidTr="00F26F54">
        <w:trPr>
          <w:trHeight w:val="1120"/>
        </w:trPr>
        <w:tc>
          <w:tcPr>
            <w:tcW w:w="620" w:type="dxa"/>
            <w:vMerge/>
            <w:tcBorders>
              <w:top w:val="nil"/>
              <w:left w:val="single" w:sz="8" w:space="0" w:color="auto"/>
              <w:bottom w:val="single" w:sz="8" w:space="0" w:color="000000"/>
              <w:right w:val="nil"/>
            </w:tcBorders>
            <w:vAlign w:val="center"/>
            <w:hideMark/>
          </w:tcPr>
          <w:p w14:paraId="65689A33" w14:textId="77777777" w:rsidR="00B65A50" w:rsidRPr="00F041AD" w:rsidRDefault="00B65A50" w:rsidP="00F26F54">
            <w:pPr>
              <w:pStyle w:val="5BodyText"/>
              <w:rPr>
                <w:color w:val="333333" w:themeColor="background1"/>
              </w:rPr>
            </w:pPr>
          </w:p>
        </w:tc>
        <w:tc>
          <w:tcPr>
            <w:tcW w:w="2200" w:type="dxa"/>
            <w:tcBorders>
              <w:top w:val="nil"/>
              <w:left w:val="single" w:sz="4" w:space="0" w:color="auto"/>
              <w:bottom w:val="single" w:sz="4" w:space="0" w:color="auto"/>
              <w:right w:val="single" w:sz="4" w:space="0" w:color="auto"/>
            </w:tcBorders>
            <w:shd w:val="clear" w:color="auto" w:fill="auto"/>
            <w:vAlign w:val="bottom"/>
            <w:hideMark/>
          </w:tcPr>
          <w:p w14:paraId="78F07D1A" w14:textId="77777777" w:rsidR="00B65A50" w:rsidRPr="00F041AD" w:rsidRDefault="00B65A50" w:rsidP="00F26F54">
            <w:pPr>
              <w:pStyle w:val="5BodyText"/>
              <w:rPr>
                <w:color w:val="333333" w:themeColor="background1"/>
              </w:rPr>
            </w:pPr>
            <w:r w:rsidRPr="00F041AD">
              <w:rPr>
                <w:color w:val="333333" w:themeColor="background1"/>
              </w:rPr>
              <w:t>Identify opportunities for thermal energy grids</w:t>
            </w:r>
          </w:p>
        </w:tc>
        <w:tc>
          <w:tcPr>
            <w:tcW w:w="2740" w:type="dxa"/>
            <w:tcBorders>
              <w:top w:val="nil"/>
              <w:left w:val="nil"/>
              <w:bottom w:val="single" w:sz="4" w:space="0" w:color="auto"/>
              <w:right w:val="single" w:sz="4" w:space="0" w:color="auto"/>
            </w:tcBorders>
            <w:shd w:val="clear" w:color="auto" w:fill="auto"/>
            <w:vAlign w:val="bottom"/>
            <w:hideMark/>
          </w:tcPr>
          <w:p w14:paraId="3CFC41D6" w14:textId="77777777" w:rsidR="00B65A50" w:rsidRPr="00F041AD" w:rsidRDefault="00B65A50" w:rsidP="00F26F54">
            <w:pPr>
              <w:pStyle w:val="5BodyText"/>
              <w:rPr>
                <w:color w:val="333333" w:themeColor="background1"/>
              </w:rPr>
            </w:pPr>
            <w:r w:rsidRPr="00F041AD">
              <w:rPr>
                <w:color w:val="333333" w:themeColor="background1"/>
              </w:rPr>
              <w:t>District energy can be expanded to existing networks to increase efficiency.</w:t>
            </w:r>
          </w:p>
        </w:tc>
        <w:tc>
          <w:tcPr>
            <w:tcW w:w="871" w:type="dxa"/>
            <w:tcBorders>
              <w:top w:val="nil"/>
              <w:left w:val="nil"/>
              <w:bottom w:val="single" w:sz="4" w:space="0" w:color="auto"/>
              <w:right w:val="single" w:sz="4" w:space="0" w:color="auto"/>
            </w:tcBorders>
            <w:shd w:val="clear" w:color="auto" w:fill="auto"/>
            <w:noWrap/>
            <w:vAlign w:val="bottom"/>
            <w:hideMark/>
          </w:tcPr>
          <w:p w14:paraId="34767E18"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40D01FE8"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0B64E22C"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38457220"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8" w:space="0" w:color="auto"/>
            </w:tcBorders>
            <w:shd w:val="clear" w:color="000000" w:fill="448027" w:themeFill="accent3" w:themeFillShade="BF"/>
            <w:noWrap/>
            <w:vAlign w:val="bottom"/>
            <w:hideMark/>
          </w:tcPr>
          <w:p w14:paraId="5B37FBAE"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5003CE06" w14:textId="77777777" w:rsidTr="00F26F54">
        <w:trPr>
          <w:trHeight w:val="1140"/>
        </w:trPr>
        <w:tc>
          <w:tcPr>
            <w:tcW w:w="620" w:type="dxa"/>
            <w:vMerge/>
            <w:tcBorders>
              <w:top w:val="nil"/>
              <w:left w:val="single" w:sz="8" w:space="0" w:color="auto"/>
              <w:bottom w:val="single" w:sz="8" w:space="0" w:color="000000"/>
              <w:right w:val="nil"/>
            </w:tcBorders>
            <w:vAlign w:val="center"/>
            <w:hideMark/>
          </w:tcPr>
          <w:p w14:paraId="7C6F592B" w14:textId="77777777" w:rsidR="00B65A50" w:rsidRPr="00F041AD" w:rsidRDefault="00B65A50" w:rsidP="00F26F54">
            <w:pPr>
              <w:pStyle w:val="5BodyText"/>
              <w:rPr>
                <w:color w:val="333333" w:themeColor="background1"/>
              </w:rPr>
            </w:pPr>
          </w:p>
        </w:tc>
        <w:tc>
          <w:tcPr>
            <w:tcW w:w="2200" w:type="dxa"/>
            <w:tcBorders>
              <w:top w:val="nil"/>
              <w:left w:val="single" w:sz="4" w:space="0" w:color="auto"/>
              <w:bottom w:val="single" w:sz="8" w:space="0" w:color="auto"/>
              <w:right w:val="single" w:sz="4" w:space="0" w:color="auto"/>
            </w:tcBorders>
            <w:shd w:val="clear" w:color="auto" w:fill="auto"/>
            <w:vAlign w:val="bottom"/>
            <w:hideMark/>
          </w:tcPr>
          <w:p w14:paraId="56BCCB65" w14:textId="77777777" w:rsidR="00B65A50" w:rsidRPr="00F041AD" w:rsidRDefault="00B65A50" w:rsidP="00F26F54">
            <w:pPr>
              <w:pStyle w:val="5BodyText"/>
              <w:rPr>
                <w:color w:val="333333" w:themeColor="background1"/>
              </w:rPr>
            </w:pPr>
            <w:r w:rsidRPr="00F041AD">
              <w:rPr>
                <w:color w:val="333333" w:themeColor="background1"/>
              </w:rPr>
              <w:t>Support combined heat and power (CHP)</w:t>
            </w:r>
          </w:p>
        </w:tc>
        <w:tc>
          <w:tcPr>
            <w:tcW w:w="2740" w:type="dxa"/>
            <w:tcBorders>
              <w:top w:val="nil"/>
              <w:left w:val="nil"/>
              <w:bottom w:val="single" w:sz="8" w:space="0" w:color="auto"/>
              <w:right w:val="single" w:sz="4" w:space="0" w:color="auto"/>
            </w:tcBorders>
            <w:shd w:val="clear" w:color="auto" w:fill="auto"/>
            <w:vAlign w:val="bottom"/>
            <w:hideMark/>
          </w:tcPr>
          <w:p w14:paraId="23D3B670" w14:textId="77777777" w:rsidR="00B65A50" w:rsidRPr="00F041AD" w:rsidRDefault="00B65A50" w:rsidP="00F26F54">
            <w:pPr>
              <w:pStyle w:val="5BodyText"/>
              <w:rPr>
                <w:color w:val="333333" w:themeColor="background1"/>
              </w:rPr>
            </w:pPr>
            <w:r w:rsidRPr="00F041AD">
              <w:rPr>
                <w:color w:val="333333" w:themeColor="background1"/>
              </w:rPr>
              <w:t>CHP can increase energy efficiency by integrating electrical and thermal energy.</w:t>
            </w:r>
          </w:p>
        </w:tc>
        <w:tc>
          <w:tcPr>
            <w:tcW w:w="871" w:type="dxa"/>
            <w:tcBorders>
              <w:top w:val="nil"/>
              <w:left w:val="nil"/>
              <w:bottom w:val="single" w:sz="8" w:space="0" w:color="auto"/>
              <w:right w:val="single" w:sz="4" w:space="0" w:color="auto"/>
            </w:tcBorders>
            <w:shd w:val="clear" w:color="auto" w:fill="auto"/>
            <w:noWrap/>
            <w:vAlign w:val="bottom"/>
            <w:hideMark/>
          </w:tcPr>
          <w:p w14:paraId="0C0AAAE0"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4" w:space="0" w:color="auto"/>
            </w:tcBorders>
            <w:shd w:val="clear" w:color="auto" w:fill="auto"/>
            <w:noWrap/>
            <w:vAlign w:val="bottom"/>
            <w:hideMark/>
          </w:tcPr>
          <w:p w14:paraId="104A1218"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4" w:space="0" w:color="auto"/>
            </w:tcBorders>
            <w:shd w:val="clear" w:color="000000" w:fill="448027" w:themeFill="accent3" w:themeFillShade="BF"/>
            <w:noWrap/>
            <w:vAlign w:val="bottom"/>
            <w:hideMark/>
          </w:tcPr>
          <w:p w14:paraId="04A4D779"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4" w:space="0" w:color="auto"/>
            </w:tcBorders>
            <w:shd w:val="clear" w:color="000000" w:fill="448027" w:themeFill="accent3" w:themeFillShade="BF"/>
            <w:noWrap/>
            <w:vAlign w:val="bottom"/>
            <w:hideMark/>
          </w:tcPr>
          <w:p w14:paraId="42EAEBA3"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8" w:space="0" w:color="auto"/>
            </w:tcBorders>
            <w:shd w:val="clear" w:color="000000" w:fill="448027" w:themeFill="accent3" w:themeFillShade="BF"/>
            <w:noWrap/>
            <w:vAlign w:val="bottom"/>
            <w:hideMark/>
          </w:tcPr>
          <w:p w14:paraId="495EAC46"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bl>
    <w:p w14:paraId="3D0398CB" w14:textId="77777777" w:rsidR="00B65A50" w:rsidRPr="00F041AD" w:rsidRDefault="00B65A50" w:rsidP="006D2060">
      <w:pPr>
        <w:rPr>
          <w:rFonts w:asciiTheme="minorHAnsi" w:hAnsiTheme="minorHAnsi"/>
          <w:b/>
          <w:color w:val="333333" w:themeColor="background1"/>
        </w:rPr>
      </w:pPr>
      <w:r w:rsidRPr="00F041AD">
        <w:rPr>
          <w:rFonts w:asciiTheme="minorHAnsi" w:hAnsiTheme="minorHAnsi"/>
          <w:b/>
          <w:color w:val="333333" w:themeColor="background1"/>
        </w:rPr>
        <w:lastRenderedPageBreak/>
        <w:br w:type="page"/>
      </w:r>
    </w:p>
    <w:p w14:paraId="4E096AB4" w14:textId="61560A56" w:rsidR="00B65A50" w:rsidRPr="00F041AD" w:rsidRDefault="00B65A50" w:rsidP="006D2060">
      <w:pPr>
        <w:pStyle w:val="7Caption"/>
        <w:rPr>
          <w:color w:val="333333" w:themeColor="background1"/>
        </w:rPr>
      </w:pPr>
      <w:r w:rsidRPr="00F041AD">
        <w:rPr>
          <w:color w:val="333333" w:themeColor="background1"/>
        </w:rPr>
        <w:lastRenderedPageBreak/>
        <w:t xml:space="preserve">Table </w:t>
      </w:r>
      <w:r w:rsidR="0039721D" w:rsidRPr="00F041AD">
        <w:rPr>
          <w:color w:val="333333" w:themeColor="background1"/>
        </w:rPr>
        <w:t>3</w:t>
      </w:r>
      <w:r w:rsidRPr="00F041AD">
        <w:rPr>
          <w:color w:val="333333" w:themeColor="background1"/>
        </w:rPr>
        <w:t xml:space="preserve"> (continued): Strategies and cross-sector opportunities.</w:t>
      </w:r>
    </w:p>
    <w:tbl>
      <w:tblPr>
        <w:tblW w:w="9915" w:type="dxa"/>
        <w:tblInd w:w="93" w:type="dxa"/>
        <w:tblLayout w:type="fixed"/>
        <w:tblLook w:val="04A0" w:firstRow="1" w:lastRow="0" w:firstColumn="1" w:lastColumn="0" w:noHBand="0" w:noVBand="1"/>
      </w:tblPr>
      <w:tblGrid>
        <w:gridCol w:w="620"/>
        <w:gridCol w:w="2200"/>
        <w:gridCol w:w="2740"/>
        <w:gridCol w:w="871"/>
        <w:gridCol w:w="871"/>
        <w:gridCol w:w="871"/>
        <w:gridCol w:w="871"/>
        <w:gridCol w:w="871"/>
      </w:tblGrid>
      <w:tr w:rsidR="00B65A50" w:rsidRPr="00F041AD" w14:paraId="41A98473" w14:textId="77777777" w:rsidTr="00F26F54">
        <w:trPr>
          <w:trHeight w:val="320"/>
        </w:trPr>
        <w:tc>
          <w:tcPr>
            <w:tcW w:w="62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5A4F55C1" w14:textId="77777777" w:rsidR="00B65A50" w:rsidRPr="00F041AD" w:rsidRDefault="00B65A50" w:rsidP="00F26F54">
            <w:pPr>
              <w:pStyle w:val="5BodyText"/>
              <w:rPr>
                <w:color w:val="333333" w:themeColor="background1"/>
              </w:rPr>
            </w:pPr>
            <w:r w:rsidRPr="00F041AD">
              <w:rPr>
                <w:color w:val="333333" w:themeColor="background1"/>
              </w:rPr>
              <w:t> </w:t>
            </w:r>
          </w:p>
        </w:tc>
        <w:tc>
          <w:tcPr>
            <w:tcW w:w="2200" w:type="dxa"/>
            <w:tcBorders>
              <w:top w:val="single" w:sz="8" w:space="0" w:color="auto"/>
              <w:left w:val="nil"/>
              <w:bottom w:val="single" w:sz="4" w:space="0" w:color="auto"/>
              <w:right w:val="single" w:sz="4" w:space="0" w:color="auto"/>
            </w:tcBorders>
            <w:shd w:val="clear" w:color="auto" w:fill="auto"/>
            <w:vAlign w:val="bottom"/>
            <w:hideMark/>
          </w:tcPr>
          <w:p w14:paraId="3099A934" w14:textId="77777777" w:rsidR="00B65A50" w:rsidRPr="00F041AD" w:rsidRDefault="00B65A50" w:rsidP="00F26F54">
            <w:pPr>
              <w:pStyle w:val="5BodyText"/>
              <w:rPr>
                <w:color w:val="333333" w:themeColor="background1"/>
              </w:rPr>
            </w:pPr>
            <w:r w:rsidRPr="00F041AD">
              <w:rPr>
                <w:color w:val="333333" w:themeColor="background1"/>
              </w:rPr>
              <w:t> </w:t>
            </w:r>
          </w:p>
        </w:tc>
        <w:tc>
          <w:tcPr>
            <w:tcW w:w="2740" w:type="dxa"/>
            <w:tcBorders>
              <w:top w:val="single" w:sz="8" w:space="0" w:color="auto"/>
              <w:left w:val="nil"/>
              <w:bottom w:val="single" w:sz="4" w:space="0" w:color="auto"/>
              <w:right w:val="single" w:sz="4" w:space="0" w:color="auto"/>
            </w:tcBorders>
            <w:shd w:val="clear" w:color="auto" w:fill="auto"/>
            <w:vAlign w:val="bottom"/>
            <w:hideMark/>
          </w:tcPr>
          <w:p w14:paraId="11FCEC70" w14:textId="77777777" w:rsidR="00B65A50" w:rsidRPr="00F041AD" w:rsidRDefault="00B65A50" w:rsidP="00F26F54">
            <w:pPr>
              <w:pStyle w:val="5BodyText"/>
              <w:rPr>
                <w:color w:val="333333" w:themeColor="background1"/>
              </w:rPr>
            </w:pPr>
            <w:r w:rsidRPr="00F041AD">
              <w:rPr>
                <w:color w:val="333333" w:themeColor="background1"/>
              </w:rPr>
              <w:t> </w:t>
            </w:r>
          </w:p>
        </w:tc>
        <w:tc>
          <w:tcPr>
            <w:tcW w:w="4355" w:type="dxa"/>
            <w:gridSpan w:val="5"/>
            <w:tcBorders>
              <w:top w:val="single" w:sz="8" w:space="0" w:color="auto"/>
              <w:left w:val="nil"/>
              <w:bottom w:val="single" w:sz="4" w:space="0" w:color="auto"/>
              <w:right w:val="single" w:sz="8" w:space="0" w:color="auto"/>
            </w:tcBorders>
            <w:shd w:val="clear" w:color="auto" w:fill="auto"/>
            <w:noWrap/>
            <w:vAlign w:val="bottom"/>
            <w:hideMark/>
          </w:tcPr>
          <w:p w14:paraId="2F072F2C" w14:textId="77777777" w:rsidR="00B65A50" w:rsidRPr="00F041AD" w:rsidRDefault="00B65A50" w:rsidP="00F26F54">
            <w:pPr>
              <w:pStyle w:val="5BodyText"/>
              <w:rPr>
                <w:b/>
                <w:color w:val="333333" w:themeColor="background1"/>
              </w:rPr>
            </w:pPr>
            <w:r w:rsidRPr="00F041AD">
              <w:rPr>
                <w:color w:val="333333" w:themeColor="background1"/>
              </w:rPr>
              <w:t> </w:t>
            </w:r>
            <w:r w:rsidRPr="00F041AD">
              <w:rPr>
                <w:b/>
                <w:color w:val="333333" w:themeColor="background1"/>
              </w:rPr>
              <w:t>Cross-sector opportunities</w:t>
            </w:r>
          </w:p>
        </w:tc>
      </w:tr>
      <w:tr w:rsidR="00B65A50" w:rsidRPr="00F041AD" w14:paraId="0C1D0E91" w14:textId="77777777" w:rsidTr="00F26F54">
        <w:trPr>
          <w:trHeight w:val="2020"/>
        </w:trPr>
        <w:tc>
          <w:tcPr>
            <w:tcW w:w="620" w:type="dxa"/>
            <w:tcBorders>
              <w:top w:val="nil"/>
              <w:left w:val="single" w:sz="8" w:space="0" w:color="auto"/>
              <w:bottom w:val="single" w:sz="8" w:space="0" w:color="auto"/>
              <w:right w:val="nil"/>
            </w:tcBorders>
            <w:shd w:val="clear" w:color="auto" w:fill="auto"/>
            <w:textDirection w:val="btLr"/>
            <w:vAlign w:val="bottom"/>
            <w:hideMark/>
          </w:tcPr>
          <w:p w14:paraId="1F4B04F9" w14:textId="77777777" w:rsidR="00B65A50" w:rsidRPr="00F041AD" w:rsidRDefault="00B65A50" w:rsidP="00F26F54">
            <w:pPr>
              <w:pStyle w:val="5BodyText"/>
              <w:rPr>
                <w:color w:val="333333" w:themeColor="background1"/>
              </w:rPr>
            </w:pPr>
            <w:r w:rsidRPr="00F041AD">
              <w:rPr>
                <w:color w:val="333333" w:themeColor="background1"/>
              </w:rPr>
              <w:t>Sector</w:t>
            </w:r>
          </w:p>
        </w:tc>
        <w:tc>
          <w:tcPr>
            <w:tcW w:w="2200" w:type="dxa"/>
            <w:tcBorders>
              <w:top w:val="nil"/>
              <w:left w:val="single" w:sz="4" w:space="0" w:color="auto"/>
              <w:bottom w:val="single" w:sz="8" w:space="0" w:color="auto"/>
              <w:right w:val="nil"/>
            </w:tcBorders>
            <w:shd w:val="clear" w:color="auto" w:fill="auto"/>
            <w:vAlign w:val="bottom"/>
            <w:hideMark/>
          </w:tcPr>
          <w:p w14:paraId="1C0A8C17" w14:textId="77777777" w:rsidR="00B65A50" w:rsidRPr="00F041AD" w:rsidRDefault="00B65A50" w:rsidP="00F26F54">
            <w:pPr>
              <w:pStyle w:val="5BodyText"/>
              <w:rPr>
                <w:color w:val="333333" w:themeColor="background1"/>
              </w:rPr>
            </w:pPr>
            <w:r w:rsidRPr="00F041AD">
              <w:rPr>
                <w:color w:val="333333" w:themeColor="background1"/>
              </w:rPr>
              <w:t>Strategy</w:t>
            </w:r>
          </w:p>
        </w:tc>
        <w:tc>
          <w:tcPr>
            <w:tcW w:w="2740" w:type="dxa"/>
            <w:tcBorders>
              <w:top w:val="nil"/>
              <w:left w:val="single" w:sz="4" w:space="0" w:color="auto"/>
              <w:bottom w:val="single" w:sz="8" w:space="0" w:color="auto"/>
              <w:right w:val="nil"/>
            </w:tcBorders>
            <w:shd w:val="clear" w:color="auto" w:fill="auto"/>
            <w:vAlign w:val="bottom"/>
            <w:hideMark/>
          </w:tcPr>
          <w:p w14:paraId="5BAD1AB5" w14:textId="77777777" w:rsidR="00B65A50" w:rsidRPr="00F041AD" w:rsidRDefault="00B65A50" w:rsidP="00F26F54">
            <w:pPr>
              <w:pStyle w:val="5BodyText"/>
              <w:rPr>
                <w:color w:val="333333" w:themeColor="background1"/>
              </w:rPr>
            </w:pPr>
            <w:r w:rsidRPr="00F041AD">
              <w:rPr>
                <w:color w:val="333333" w:themeColor="background1"/>
              </w:rPr>
              <w:t>Purpose</w:t>
            </w:r>
          </w:p>
        </w:tc>
        <w:tc>
          <w:tcPr>
            <w:tcW w:w="871" w:type="dxa"/>
            <w:tcBorders>
              <w:top w:val="single" w:sz="4" w:space="0" w:color="auto"/>
              <w:left w:val="single" w:sz="4" w:space="0" w:color="auto"/>
              <w:bottom w:val="single" w:sz="4" w:space="0" w:color="auto"/>
              <w:right w:val="single" w:sz="4" w:space="0" w:color="auto"/>
            </w:tcBorders>
            <w:shd w:val="clear" w:color="auto" w:fill="auto"/>
            <w:textDirection w:val="btLr"/>
            <w:vAlign w:val="bottom"/>
            <w:hideMark/>
          </w:tcPr>
          <w:p w14:paraId="1AE66F1E" w14:textId="77777777" w:rsidR="00B65A50" w:rsidRPr="00F041AD" w:rsidRDefault="00B65A50" w:rsidP="00F26F54">
            <w:pPr>
              <w:pStyle w:val="5BodyText"/>
              <w:rPr>
                <w:color w:val="333333" w:themeColor="background1"/>
              </w:rPr>
            </w:pPr>
            <w:r w:rsidRPr="00F041AD">
              <w:rPr>
                <w:color w:val="333333" w:themeColor="background1"/>
              </w:rPr>
              <w:t>Transportation</w:t>
            </w:r>
          </w:p>
        </w:tc>
        <w:tc>
          <w:tcPr>
            <w:tcW w:w="8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154191D1" w14:textId="77777777" w:rsidR="00B65A50" w:rsidRPr="00F041AD" w:rsidRDefault="00B65A50" w:rsidP="00F26F54">
            <w:pPr>
              <w:pStyle w:val="5BodyText"/>
              <w:rPr>
                <w:color w:val="333333" w:themeColor="background1"/>
              </w:rPr>
            </w:pPr>
            <w:r w:rsidRPr="00F041AD">
              <w:rPr>
                <w:color w:val="333333" w:themeColor="background1"/>
              </w:rPr>
              <w:t>Energy Supply and</w:t>
            </w:r>
          </w:p>
          <w:p w14:paraId="0F83B015" w14:textId="77777777" w:rsidR="00B65A50" w:rsidRPr="00F041AD" w:rsidRDefault="00B65A50" w:rsidP="00F26F54">
            <w:pPr>
              <w:pStyle w:val="5BodyText"/>
              <w:rPr>
                <w:color w:val="333333" w:themeColor="background1"/>
              </w:rPr>
            </w:pPr>
            <w:r w:rsidRPr="00F041AD">
              <w:rPr>
                <w:color w:val="333333" w:themeColor="background1"/>
              </w:rPr>
              <w:t>Grid Modernization</w:t>
            </w:r>
          </w:p>
        </w:tc>
        <w:tc>
          <w:tcPr>
            <w:tcW w:w="8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4A06CF19" w14:textId="77777777" w:rsidR="00B65A50" w:rsidRPr="00F041AD" w:rsidRDefault="00B65A50" w:rsidP="00F26F54">
            <w:pPr>
              <w:pStyle w:val="5BodyText"/>
              <w:rPr>
                <w:color w:val="333333" w:themeColor="background1"/>
              </w:rPr>
            </w:pPr>
            <w:r w:rsidRPr="00F041AD">
              <w:rPr>
                <w:color w:val="333333" w:themeColor="background1"/>
              </w:rPr>
              <w:t>Efficient Buildings</w:t>
            </w:r>
          </w:p>
          <w:p w14:paraId="0243D823" w14:textId="4E060B85" w:rsidR="00B65A50" w:rsidRPr="00F041AD" w:rsidRDefault="00B65A50" w:rsidP="00C1562C">
            <w:pPr>
              <w:pStyle w:val="5BodyText"/>
              <w:rPr>
                <w:color w:val="333333" w:themeColor="background1"/>
              </w:rPr>
            </w:pPr>
            <w:r w:rsidRPr="00F041AD">
              <w:rPr>
                <w:color w:val="333333" w:themeColor="background1"/>
              </w:rPr>
              <w:t>and Integrated Energy Systems</w:t>
            </w:r>
          </w:p>
        </w:tc>
        <w:tc>
          <w:tcPr>
            <w:tcW w:w="871" w:type="dxa"/>
            <w:tcBorders>
              <w:top w:val="single" w:sz="4" w:space="0" w:color="auto"/>
              <w:left w:val="nil"/>
              <w:bottom w:val="single" w:sz="4" w:space="0" w:color="auto"/>
              <w:right w:val="single" w:sz="4" w:space="0" w:color="auto"/>
            </w:tcBorders>
            <w:shd w:val="clear" w:color="auto" w:fill="auto"/>
            <w:textDirection w:val="btLr"/>
            <w:vAlign w:val="bottom"/>
            <w:hideMark/>
          </w:tcPr>
          <w:p w14:paraId="7FC77953" w14:textId="7FD8FB4D" w:rsidR="00B65A50" w:rsidRPr="00F041AD" w:rsidRDefault="0023664B" w:rsidP="00F26F54">
            <w:pPr>
              <w:pStyle w:val="5BodyText"/>
              <w:rPr>
                <w:color w:val="333333" w:themeColor="background1"/>
              </w:rPr>
            </w:pPr>
            <w:r w:rsidRPr="00F041AD">
              <w:rPr>
                <w:color w:val="333333" w:themeColor="background1"/>
              </w:rPr>
              <w:t>Industrial</w:t>
            </w:r>
            <w:r w:rsidR="00B65A50" w:rsidRPr="00F041AD">
              <w:rPr>
                <w:color w:val="333333" w:themeColor="background1"/>
              </w:rPr>
              <w:t xml:space="preserve"> and</w:t>
            </w:r>
          </w:p>
          <w:p w14:paraId="2286515A" w14:textId="14276803" w:rsidR="00B65A50" w:rsidRPr="00F041AD" w:rsidRDefault="0023664B" w:rsidP="00F26F54">
            <w:pPr>
              <w:pStyle w:val="5BodyText"/>
              <w:rPr>
                <w:color w:val="333333" w:themeColor="background1"/>
              </w:rPr>
            </w:pPr>
            <w:r w:rsidRPr="00F041AD">
              <w:rPr>
                <w:color w:val="333333" w:themeColor="background1"/>
              </w:rPr>
              <w:t>Agricultural Sectors</w:t>
            </w:r>
          </w:p>
        </w:tc>
        <w:tc>
          <w:tcPr>
            <w:tcW w:w="871" w:type="dxa"/>
            <w:tcBorders>
              <w:top w:val="single" w:sz="4" w:space="0" w:color="auto"/>
              <w:left w:val="nil"/>
              <w:bottom w:val="single" w:sz="4" w:space="0" w:color="auto"/>
              <w:right w:val="single" w:sz="8" w:space="0" w:color="auto"/>
            </w:tcBorders>
            <w:shd w:val="clear" w:color="auto" w:fill="auto"/>
            <w:textDirection w:val="btLr"/>
            <w:vAlign w:val="bottom"/>
            <w:hideMark/>
          </w:tcPr>
          <w:p w14:paraId="15EBBF57" w14:textId="77777777" w:rsidR="00B65A50" w:rsidRPr="00F041AD" w:rsidRDefault="00B65A50" w:rsidP="00F26F54">
            <w:pPr>
              <w:pStyle w:val="5BodyText"/>
              <w:rPr>
                <w:color w:val="333333" w:themeColor="background1"/>
              </w:rPr>
            </w:pPr>
            <w:r w:rsidRPr="00F041AD">
              <w:rPr>
                <w:color w:val="333333" w:themeColor="background1"/>
              </w:rPr>
              <w:t>Local Planning</w:t>
            </w:r>
          </w:p>
          <w:p w14:paraId="101837B0" w14:textId="77777777" w:rsidR="00B65A50" w:rsidRPr="00F041AD" w:rsidRDefault="00B65A50" w:rsidP="00F26F54">
            <w:pPr>
              <w:pStyle w:val="5BodyText"/>
              <w:rPr>
                <w:color w:val="333333" w:themeColor="background1"/>
              </w:rPr>
            </w:pPr>
            <w:r w:rsidRPr="00F041AD">
              <w:rPr>
                <w:color w:val="333333" w:themeColor="background1"/>
              </w:rPr>
              <w:t>and Action</w:t>
            </w:r>
          </w:p>
        </w:tc>
      </w:tr>
      <w:tr w:rsidR="00B65A50" w:rsidRPr="00F041AD" w14:paraId="396F6D33" w14:textId="77777777" w:rsidTr="00F26F54">
        <w:trPr>
          <w:trHeight w:val="1120"/>
        </w:trPr>
        <w:tc>
          <w:tcPr>
            <w:tcW w:w="620" w:type="dxa"/>
            <w:vMerge w:val="restart"/>
            <w:tcBorders>
              <w:top w:val="nil"/>
              <w:left w:val="single" w:sz="8" w:space="0" w:color="auto"/>
              <w:bottom w:val="single" w:sz="8" w:space="0" w:color="000000"/>
              <w:right w:val="nil"/>
            </w:tcBorders>
            <w:shd w:val="clear" w:color="auto" w:fill="auto"/>
            <w:textDirection w:val="btLr"/>
            <w:vAlign w:val="center"/>
            <w:hideMark/>
          </w:tcPr>
          <w:p w14:paraId="51C489EC" w14:textId="7BCB2FAC" w:rsidR="00B65A50" w:rsidRPr="00F041AD" w:rsidRDefault="0023664B" w:rsidP="00F26F54">
            <w:pPr>
              <w:pStyle w:val="5BodyText"/>
              <w:rPr>
                <w:color w:val="333333" w:themeColor="background1"/>
              </w:rPr>
            </w:pPr>
            <w:r w:rsidRPr="00F041AD">
              <w:rPr>
                <w:color w:val="333333" w:themeColor="background1"/>
              </w:rPr>
              <w:t>Industrial and Agricultural Sectors</w:t>
            </w:r>
          </w:p>
        </w:tc>
        <w:tc>
          <w:tcPr>
            <w:tcW w:w="2200" w:type="dxa"/>
            <w:tcBorders>
              <w:top w:val="nil"/>
              <w:left w:val="single" w:sz="4" w:space="0" w:color="auto"/>
              <w:bottom w:val="single" w:sz="4" w:space="0" w:color="auto"/>
              <w:right w:val="single" w:sz="4" w:space="0" w:color="auto"/>
            </w:tcBorders>
            <w:shd w:val="clear" w:color="auto" w:fill="auto"/>
            <w:vAlign w:val="bottom"/>
            <w:hideMark/>
          </w:tcPr>
          <w:p w14:paraId="7BEBF3E1" w14:textId="77777777" w:rsidR="00B65A50" w:rsidRPr="00F041AD" w:rsidRDefault="00B65A50" w:rsidP="00F26F54">
            <w:pPr>
              <w:pStyle w:val="5BodyText"/>
              <w:rPr>
                <w:color w:val="333333" w:themeColor="background1"/>
              </w:rPr>
            </w:pPr>
            <w:r w:rsidRPr="00F041AD">
              <w:rPr>
                <w:color w:val="333333" w:themeColor="background1"/>
              </w:rPr>
              <w:t>Commercialize advanced biofuels and biobased chemicals</w:t>
            </w:r>
          </w:p>
        </w:tc>
        <w:tc>
          <w:tcPr>
            <w:tcW w:w="2740" w:type="dxa"/>
            <w:tcBorders>
              <w:top w:val="nil"/>
              <w:left w:val="nil"/>
              <w:bottom w:val="single" w:sz="4" w:space="0" w:color="auto"/>
              <w:right w:val="single" w:sz="4" w:space="0" w:color="auto"/>
            </w:tcBorders>
            <w:shd w:val="clear" w:color="auto" w:fill="auto"/>
            <w:vAlign w:val="bottom"/>
            <w:hideMark/>
          </w:tcPr>
          <w:p w14:paraId="25F7F414" w14:textId="77777777" w:rsidR="00B65A50" w:rsidRPr="00F041AD" w:rsidRDefault="00B65A50" w:rsidP="00F26F54">
            <w:pPr>
              <w:pStyle w:val="5BodyText"/>
              <w:rPr>
                <w:color w:val="333333" w:themeColor="background1"/>
              </w:rPr>
            </w:pPr>
            <w:r w:rsidRPr="00F041AD">
              <w:rPr>
                <w:color w:val="333333" w:themeColor="background1"/>
              </w:rPr>
              <w:t>Leverage agriculture and forestry sectors to produce biofuels and biobased chemicals.</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345B6820"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31B66AB1"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3E27E4B0"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1B7D0C5B"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8" w:space="0" w:color="auto"/>
            </w:tcBorders>
            <w:shd w:val="clear" w:color="auto" w:fill="auto"/>
            <w:noWrap/>
            <w:vAlign w:val="bottom"/>
            <w:hideMark/>
          </w:tcPr>
          <w:p w14:paraId="274FBF6D"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3C45995D" w14:textId="77777777" w:rsidTr="00F26F54">
        <w:trPr>
          <w:trHeight w:val="1120"/>
        </w:trPr>
        <w:tc>
          <w:tcPr>
            <w:tcW w:w="620" w:type="dxa"/>
            <w:vMerge/>
            <w:tcBorders>
              <w:top w:val="nil"/>
              <w:left w:val="single" w:sz="8" w:space="0" w:color="auto"/>
              <w:bottom w:val="single" w:sz="8" w:space="0" w:color="000000"/>
              <w:right w:val="nil"/>
            </w:tcBorders>
            <w:vAlign w:val="center"/>
            <w:hideMark/>
          </w:tcPr>
          <w:p w14:paraId="02BD04A3" w14:textId="77777777" w:rsidR="00B65A50" w:rsidRPr="00F041AD" w:rsidRDefault="00B65A50" w:rsidP="00F26F54">
            <w:pPr>
              <w:pStyle w:val="5BodyText"/>
              <w:rPr>
                <w:color w:val="333333" w:themeColor="background1"/>
              </w:rPr>
            </w:pPr>
          </w:p>
        </w:tc>
        <w:tc>
          <w:tcPr>
            <w:tcW w:w="2200" w:type="dxa"/>
            <w:tcBorders>
              <w:top w:val="nil"/>
              <w:left w:val="single" w:sz="4" w:space="0" w:color="auto"/>
              <w:bottom w:val="single" w:sz="4" w:space="0" w:color="auto"/>
              <w:right w:val="single" w:sz="4" w:space="0" w:color="auto"/>
            </w:tcBorders>
            <w:shd w:val="clear" w:color="auto" w:fill="auto"/>
            <w:vAlign w:val="bottom"/>
            <w:hideMark/>
          </w:tcPr>
          <w:p w14:paraId="2867A327" w14:textId="77777777" w:rsidR="00B65A50" w:rsidRPr="00F041AD" w:rsidRDefault="00B65A50" w:rsidP="00F26F54">
            <w:pPr>
              <w:pStyle w:val="5BodyText"/>
              <w:rPr>
                <w:color w:val="333333" w:themeColor="background1"/>
              </w:rPr>
            </w:pPr>
            <w:r w:rsidRPr="00F041AD">
              <w:rPr>
                <w:color w:val="333333" w:themeColor="background1"/>
              </w:rPr>
              <w:t>Capture organic feedstocks through anaerobic digestion</w:t>
            </w:r>
          </w:p>
        </w:tc>
        <w:tc>
          <w:tcPr>
            <w:tcW w:w="2740" w:type="dxa"/>
            <w:tcBorders>
              <w:top w:val="nil"/>
              <w:left w:val="nil"/>
              <w:bottom w:val="single" w:sz="4" w:space="0" w:color="auto"/>
              <w:right w:val="single" w:sz="4" w:space="0" w:color="auto"/>
            </w:tcBorders>
            <w:shd w:val="clear" w:color="auto" w:fill="auto"/>
            <w:vAlign w:val="bottom"/>
            <w:hideMark/>
          </w:tcPr>
          <w:p w14:paraId="2AEAE304" w14:textId="77777777" w:rsidR="00B65A50" w:rsidRPr="00F041AD" w:rsidRDefault="00B65A50" w:rsidP="00F26F54">
            <w:pPr>
              <w:pStyle w:val="5BodyText"/>
              <w:rPr>
                <w:color w:val="333333" w:themeColor="background1"/>
              </w:rPr>
            </w:pPr>
            <w:r w:rsidRPr="00F041AD">
              <w:rPr>
                <w:color w:val="333333" w:themeColor="background1"/>
              </w:rPr>
              <w:t>Anaerobic digestion uses waste material to produce renewable natural gas, heat, and electricity.</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1013E4C0"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663B5A7C"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0E0B44DB"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615D380F"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8" w:space="0" w:color="auto"/>
            </w:tcBorders>
            <w:shd w:val="clear" w:color="auto" w:fill="auto"/>
            <w:noWrap/>
            <w:vAlign w:val="bottom"/>
            <w:hideMark/>
          </w:tcPr>
          <w:p w14:paraId="503C819F"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33ED2A31" w14:textId="77777777" w:rsidTr="00F26F54">
        <w:trPr>
          <w:trHeight w:val="1120"/>
        </w:trPr>
        <w:tc>
          <w:tcPr>
            <w:tcW w:w="620" w:type="dxa"/>
            <w:vMerge/>
            <w:tcBorders>
              <w:top w:val="nil"/>
              <w:left w:val="single" w:sz="8" w:space="0" w:color="auto"/>
              <w:bottom w:val="single" w:sz="8" w:space="0" w:color="000000"/>
              <w:right w:val="nil"/>
            </w:tcBorders>
            <w:vAlign w:val="center"/>
            <w:hideMark/>
          </w:tcPr>
          <w:p w14:paraId="55194E24" w14:textId="77777777" w:rsidR="00B65A50" w:rsidRPr="00F041AD" w:rsidRDefault="00B65A50" w:rsidP="00F26F54">
            <w:pPr>
              <w:pStyle w:val="5BodyText"/>
              <w:rPr>
                <w:color w:val="333333" w:themeColor="background1"/>
              </w:rPr>
            </w:pPr>
          </w:p>
        </w:tc>
        <w:tc>
          <w:tcPr>
            <w:tcW w:w="2200" w:type="dxa"/>
            <w:tcBorders>
              <w:top w:val="nil"/>
              <w:left w:val="single" w:sz="4" w:space="0" w:color="auto"/>
              <w:bottom w:val="single" w:sz="4" w:space="0" w:color="auto"/>
              <w:right w:val="single" w:sz="4" w:space="0" w:color="auto"/>
            </w:tcBorders>
            <w:shd w:val="clear" w:color="auto" w:fill="auto"/>
            <w:vAlign w:val="bottom"/>
            <w:hideMark/>
          </w:tcPr>
          <w:p w14:paraId="46D78E40" w14:textId="77777777" w:rsidR="00B65A50" w:rsidRPr="00F041AD" w:rsidRDefault="00B65A50" w:rsidP="00F26F54">
            <w:pPr>
              <w:pStyle w:val="5BodyText"/>
              <w:rPr>
                <w:color w:val="333333" w:themeColor="background1"/>
              </w:rPr>
            </w:pPr>
            <w:r w:rsidRPr="00F041AD">
              <w:rPr>
                <w:color w:val="333333" w:themeColor="background1"/>
              </w:rPr>
              <w:t xml:space="preserve">Promote industrial efficiency practices </w:t>
            </w:r>
          </w:p>
        </w:tc>
        <w:tc>
          <w:tcPr>
            <w:tcW w:w="2740" w:type="dxa"/>
            <w:tcBorders>
              <w:top w:val="nil"/>
              <w:left w:val="nil"/>
              <w:bottom w:val="single" w:sz="4" w:space="0" w:color="auto"/>
              <w:right w:val="single" w:sz="4" w:space="0" w:color="auto"/>
            </w:tcBorders>
            <w:shd w:val="clear" w:color="auto" w:fill="auto"/>
            <w:vAlign w:val="bottom"/>
            <w:hideMark/>
          </w:tcPr>
          <w:p w14:paraId="5678F88D" w14:textId="77777777" w:rsidR="00B65A50" w:rsidRPr="00F041AD" w:rsidRDefault="00B65A50" w:rsidP="00F26F54">
            <w:pPr>
              <w:pStyle w:val="5BodyText"/>
              <w:rPr>
                <w:color w:val="333333" w:themeColor="background1"/>
              </w:rPr>
            </w:pPr>
            <w:r w:rsidRPr="00F041AD">
              <w:rPr>
                <w:color w:val="333333" w:themeColor="background1"/>
              </w:rPr>
              <w:t>Industrial facilities can take advantage of opportunities to increase efficiency and save money.</w:t>
            </w:r>
          </w:p>
        </w:tc>
        <w:tc>
          <w:tcPr>
            <w:tcW w:w="871" w:type="dxa"/>
            <w:tcBorders>
              <w:top w:val="nil"/>
              <w:left w:val="nil"/>
              <w:bottom w:val="single" w:sz="4" w:space="0" w:color="auto"/>
              <w:right w:val="single" w:sz="4" w:space="0" w:color="auto"/>
            </w:tcBorders>
            <w:shd w:val="clear" w:color="auto" w:fill="auto"/>
            <w:noWrap/>
            <w:vAlign w:val="bottom"/>
            <w:hideMark/>
          </w:tcPr>
          <w:p w14:paraId="79E4281D"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40E3DA25"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00348FCB"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448027" w:themeFill="accent3" w:themeFillShade="BF"/>
            <w:noWrap/>
            <w:vAlign w:val="bottom"/>
            <w:hideMark/>
          </w:tcPr>
          <w:p w14:paraId="7B7D03C2"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8" w:space="0" w:color="auto"/>
            </w:tcBorders>
            <w:shd w:val="clear" w:color="auto" w:fill="auto"/>
            <w:noWrap/>
            <w:vAlign w:val="bottom"/>
            <w:hideMark/>
          </w:tcPr>
          <w:p w14:paraId="06061F58"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3711BA30" w14:textId="77777777" w:rsidTr="00F26F54">
        <w:trPr>
          <w:trHeight w:val="1420"/>
        </w:trPr>
        <w:tc>
          <w:tcPr>
            <w:tcW w:w="620" w:type="dxa"/>
            <w:vMerge/>
            <w:tcBorders>
              <w:top w:val="nil"/>
              <w:left w:val="single" w:sz="8" w:space="0" w:color="auto"/>
              <w:bottom w:val="single" w:sz="8" w:space="0" w:color="000000"/>
              <w:right w:val="nil"/>
            </w:tcBorders>
            <w:vAlign w:val="center"/>
            <w:hideMark/>
          </w:tcPr>
          <w:p w14:paraId="2C786E9F" w14:textId="77777777" w:rsidR="00B65A50" w:rsidRPr="00F041AD" w:rsidRDefault="00B65A50" w:rsidP="00F26F54">
            <w:pPr>
              <w:pStyle w:val="5BodyText"/>
              <w:rPr>
                <w:color w:val="333333" w:themeColor="background1"/>
              </w:rPr>
            </w:pPr>
          </w:p>
        </w:tc>
        <w:tc>
          <w:tcPr>
            <w:tcW w:w="2200" w:type="dxa"/>
            <w:tcBorders>
              <w:top w:val="nil"/>
              <w:left w:val="single" w:sz="4" w:space="0" w:color="auto"/>
              <w:bottom w:val="single" w:sz="8" w:space="0" w:color="auto"/>
              <w:right w:val="single" w:sz="4" w:space="0" w:color="auto"/>
            </w:tcBorders>
            <w:shd w:val="clear" w:color="auto" w:fill="auto"/>
            <w:vAlign w:val="bottom"/>
            <w:hideMark/>
          </w:tcPr>
          <w:p w14:paraId="233894EB" w14:textId="23808741" w:rsidR="00B65A50" w:rsidRPr="00F041AD" w:rsidRDefault="001A63CA" w:rsidP="001A63CA">
            <w:pPr>
              <w:pStyle w:val="5BodyText"/>
              <w:rPr>
                <w:color w:val="333333" w:themeColor="background1"/>
              </w:rPr>
            </w:pPr>
            <w:r>
              <w:rPr>
                <w:color w:val="333333" w:themeColor="background1"/>
              </w:rPr>
              <w:t>C</w:t>
            </w:r>
            <w:r w:rsidR="00B65A50" w:rsidRPr="00F041AD">
              <w:rPr>
                <w:color w:val="333333" w:themeColor="background1"/>
              </w:rPr>
              <w:t>oordinat</w:t>
            </w:r>
            <w:r>
              <w:rPr>
                <w:color w:val="333333" w:themeColor="background1"/>
              </w:rPr>
              <w:t>e</w:t>
            </w:r>
            <w:r w:rsidR="00B65A50" w:rsidRPr="00F041AD">
              <w:rPr>
                <w:color w:val="333333" w:themeColor="background1"/>
              </w:rPr>
              <w:t xml:space="preserve"> and promot</w:t>
            </w:r>
            <w:r>
              <w:rPr>
                <w:color w:val="333333" w:themeColor="background1"/>
              </w:rPr>
              <w:t xml:space="preserve">e </w:t>
            </w:r>
            <w:r w:rsidR="00B65A50" w:rsidRPr="00F041AD">
              <w:rPr>
                <w:color w:val="333333" w:themeColor="background1"/>
              </w:rPr>
              <w:t xml:space="preserve">clean energy industry </w:t>
            </w:r>
          </w:p>
        </w:tc>
        <w:tc>
          <w:tcPr>
            <w:tcW w:w="2740" w:type="dxa"/>
            <w:tcBorders>
              <w:top w:val="nil"/>
              <w:left w:val="nil"/>
              <w:bottom w:val="single" w:sz="8" w:space="0" w:color="auto"/>
              <w:right w:val="single" w:sz="4" w:space="0" w:color="auto"/>
            </w:tcBorders>
            <w:shd w:val="clear" w:color="auto" w:fill="auto"/>
            <w:vAlign w:val="bottom"/>
            <w:hideMark/>
          </w:tcPr>
          <w:p w14:paraId="4CB5B5F7" w14:textId="77777777" w:rsidR="00B65A50" w:rsidRPr="00F041AD" w:rsidRDefault="00B65A50" w:rsidP="00F26F54">
            <w:pPr>
              <w:pStyle w:val="5BodyText"/>
              <w:rPr>
                <w:color w:val="333333" w:themeColor="background1"/>
              </w:rPr>
            </w:pPr>
            <w:r w:rsidRPr="00F041AD">
              <w:rPr>
                <w:color w:val="333333" w:themeColor="background1"/>
              </w:rPr>
              <w:t>Increase coordination and communication across clean energy industry to maximize economic development.</w:t>
            </w:r>
          </w:p>
        </w:tc>
        <w:tc>
          <w:tcPr>
            <w:tcW w:w="871" w:type="dxa"/>
            <w:tcBorders>
              <w:top w:val="nil"/>
              <w:left w:val="nil"/>
              <w:bottom w:val="single" w:sz="8" w:space="0" w:color="auto"/>
              <w:right w:val="single" w:sz="4" w:space="0" w:color="auto"/>
            </w:tcBorders>
            <w:shd w:val="clear" w:color="auto" w:fill="auto"/>
            <w:noWrap/>
            <w:vAlign w:val="bottom"/>
            <w:hideMark/>
          </w:tcPr>
          <w:p w14:paraId="7212A037"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4" w:space="0" w:color="auto"/>
            </w:tcBorders>
            <w:shd w:val="clear" w:color="000000" w:fill="448027" w:themeFill="accent3" w:themeFillShade="BF"/>
            <w:noWrap/>
            <w:vAlign w:val="bottom"/>
            <w:hideMark/>
          </w:tcPr>
          <w:p w14:paraId="4F9955DD"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4" w:space="0" w:color="auto"/>
            </w:tcBorders>
            <w:shd w:val="clear" w:color="000000" w:fill="448027" w:themeFill="accent3" w:themeFillShade="BF"/>
            <w:noWrap/>
            <w:vAlign w:val="bottom"/>
            <w:hideMark/>
          </w:tcPr>
          <w:p w14:paraId="487FF11A"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4" w:space="0" w:color="auto"/>
            </w:tcBorders>
            <w:shd w:val="clear" w:color="auto" w:fill="448027" w:themeFill="accent3" w:themeFillShade="BF"/>
            <w:noWrap/>
            <w:vAlign w:val="bottom"/>
            <w:hideMark/>
          </w:tcPr>
          <w:p w14:paraId="6F5148E9"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8" w:space="0" w:color="auto"/>
            </w:tcBorders>
            <w:shd w:val="clear" w:color="000000" w:fill="448027" w:themeFill="accent3" w:themeFillShade="BF"/>
            <w:noWrap/>
            <w:vAlign w:val="bottom"/>
            <w:hideMark/>
          </w:tcPr>
          <w:p w14:paraId="1C670403"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71EBADB4" w14:textId="77777777" w:rsidTr="00F26F54">
        <w:trPr>
          <w:trHeight w:val="1120"/>
        </w:trPr>
        <w:tc>
          <w:tcPr>
            <w:tcW w:w="620" w:type="dxa"/>
            <w:vMerge w:val="restart"/>
            <w:tcBorders>
              <w:top w:val="nil"/>
              <w:left w:val="single" w:sz="8" w:space="0" w:color="auto"/>
              <w:bottom w:val="single" w:sz="8" w:space="0" w:color="000000"/>
              <w:right w:val="nil"/>
            </w:tcBorders>
            <w:shd w:val="clear" w:color="auto" w:fill="auto"/>
            <w:textDirection w:val="btLr"/>
            <w:vAlign w:val="center"/>
            <w:hideMark/>
          </w:tcPr>
          <w:p w14:paraId="3E2087C6" w14:textId="77777777" w:rsidR="00B65A50" w:rsidRPr="00F041AD" w:rsidRDefault="00B65A50" w:rsidP="00F26F54">
            <w:pPr>
              <w:pStyle w:val="5BodyText"/>
              <w:rPr>
                <w:color w:val="333333" w:themeColor="background1"/>
              </w:rPr>
            </w:pPr>
            <w:r w:rsidRPr="00F041AD">
              <w:rPr>
                <w:color w:val="333333" w:themeColor="background1"/>
              </w:rPr>
              <w:t>Local Planning and Action</w:t>
            </w:r>
          </w:p>
        </w:tc>
        <w:tc>
          <w:tcPr>
            <w:tcW w:w="2200" w:type="dxa"/>
            <w:tcBorders>
              <w:top w:val="nil"/>
              <w:left w:val="single" w:sz="4" w:space="0" w:color="auto"/>
              <w:bottom w:val="single" w:sz="4" w:space="0" w:color="auto"/>
              <w:right w:val="single" w:sz="4" w:space="0" w:color="auto"/>
            </w:tcBorders>
            <w:shd w:val="clear" w:color="auto" w:fill="auto"/>
            <w:vAlign w:val="bottom"/>
            <w:hideMark/>
          </w:tcPr>
          <w:p w14:paraId="01058396" w14:textId="0903A3A6" w:rsidR="00B65A50" w:rsidRPr="00F041AD" w:rsidRDefault="008D51B1" w:rsidP="00F26F54">
            <w:pPr>
              <w:pStyle w:val="5BodyText"/>
              <w:rPr>
                <w:color w:val="333333" w:themeColor="background1"/>
              </w:rPr>
            </w:pPr>
            <w:r w:rsidRPr="00F041AD">
              <w:rPr>
                <w:color w:val="333333" w:themeColor="background1"/>
              </w:rPr>
              <w:t>Advance e</w:t>
            </w:r>
            <w:r w:rsidR="00B65A50" w:rsidRPr="00F041AD">
              <w:rPr>
                <w:color w:val="333333" w:themeColor="background1"/>
              </w:rPr>
              <w:t>nergy planning at the local level</w:t>
            </w:r>
          </w:p>
        </w:tc>
        <w:tc>
          <w:tcPr>
            <w:tcW w:w="2740" w:type="dxa"/>
            <w:tcBorders>
              <w:top w:val="nil"/>
              <w:left w:val="nil"/>
              <w:bottom w:val="single" w:sz="4" w:space="0" w:color="auto"/>
              <w:right w:val="single" w:sz="4" w:space="0" w:color="auto"/>
            </w:tcBorders>
            <w:shd w:val="clear" w:color="auto" w:fill="auto"/>
            <w:vAlign w:val="bottom"/>
            <w:hideMark/>
          </w:tcPr>
          <w:p w14:paraId="4B95BE00" w14:textId="77777777" w:rsidR="00B65A50" w:rsidRPr="00F041AD" w:rsidRDefault="00B65A50" w:rsidP="00F26F54">
            <w:pPr>
              <w:pStyle w:val="5BodyText"/>
              <w:rPr>
                <w:color w:val="333333" w:themeColor="background1"/>
              </w:rPr>
            </w:pPr>
            <w:r w:rsidRPr="00F041AD">
              <w:rPr>
                <w:color w:val="333333" w:themeColor="background1"/>
              </w:rPr>
              <w:t xml:space="preserve">Third parties can support local governments to plan for energy efficiency and </w:t>
            </w:r>
            <w:proofErr w:type="spellStart"/>
            <w:r w:rsidRPr="00F041AD">
              <w:rPr>
                <w:color w:val="333333" w:themeColor="background1"/>
              </w:rPr>
              <w:t>renewables</w:t>
            </w:r>
            <w:proofErr w:type="spellEnd"/>
            <w:r w:rsidRPr="00F041AD">
              <w:rPr>
                <w:color w:val="333333" w:themeColor="background1"/>
              </w:rPr>
              <w:t>.</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4AA6DBCB"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auto"/>
            <w:noWrap/>
            <w:vAlign w:val="bottom"/>
            <w:hideMark/>
          </w:tcPr>
          <w:p w14:paraId="7E4ADF39"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000000" w:fill="448027" w:themeFill="accent3" w:themeFillShade="BF"/>
            <w:noWrap/>
            <w:vAlign w:val="bottom"/>
            <w:hideMark/>
          </w:tcPr>
          <w:p w14:paraId="19627DCD"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4" w:space="0" w:color="auto"/>
            </w:tcBorders>
            <w:shd w:val="clear" w:color="auto" w:fill="448027" w:themeFill="accent3" w:themeFillShade="BF"/>
            <w:noWrap/>
            <w:vAlign w:val="bottom"/>
            <w:hideMark/>
          </w:tcPr>
          <w:p w14:paraId="7280F11E"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4" w:space="0" w:color="auto"/>
              <w:right w:val="single" w:sz="8" w:space="0" w:color="auto"/>
            </w:tcBorders>
            <w:shd w:val="clear" w:color="auto" w:fill="auto"/>
            <w:noWrap/>
            <w:vAlign w:val="bottom"/>
            <w:hideMark/>
          </w:tcPr>
          <w:p w14:paraId="57AF0F52"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r w:rsidR="00B65A50" w:rsidRPr="00F041AD" w14:paraId="3333E5EC" w14:textId="77777777" w:rsidTr="00F26F54">
        <w:trPr>
          <w:trHeight w:val="1140"/>
        </w:trPr>
        <w:tc>
          <w:tcPr>
            <w:tcW w:w="620" w:type="dxa"/>
            <w:vMerge/>
            <w:tcBorders>
              <w:top w:val="nil"/>
              <w:left w:val="single" w:sz="8" w:space="0" w:color="auto"/>
              <w:bottom w:val="single" w:sz="8" w:space="0" w:color="000000"/>
              <w:right w:val="nil"/>
            </w:tcBorders>
            <w:vAlign w:val="center"/>
            <w:hideMark/>
          </w:tcPr>
          <w:p w14:paraId="7973C853" w14:textId="77777777" w:rsidR="00B65A50" w:rsidRPr="00F041AD" w:rsidRDefault="00B65A50" w:rsidP="00F26F54">
            <w:pPr>
              <w:pStyle w:val="5BodyText"/>
              <w:rPr>
                <w:color w:val="333333" w:themeColor="background1"/>
              </w:rPr>
            </w:pPr>
          </w:p>
        </w:tc>
        <w:tc>
          <w:tcPr>
            <w:tcW w:w="2200" w:type="dxa"/>
            <w:tcBorders>
              <w:top w:val="nil"/>
              <w:left w:val="single" w:sz="4" w:space="0" w:color="auto"/>
              <w:bottom w:val="single" w:sz="8" w:space="0" w:color="auto"/>
              <w:right w:val="single" w:sz="4" w:space="0" w:color="auto"/>
            </w:tcBorders>
            <w:shd w:val="clear" w:color="auto" w:fill="auto"/>
            <w:vAlign w:val="bottom"/>
            <w:hideMark/>
          </w:tcPr>
          <w:p w14:paraId="69D914C2" w14:textId="39618DD8" w:rsidR="00B65A50" w:rsidRPr="00F041AD" w:rsidRDefault="008D51B1" w:rsidP="00F26F54">
            <w:pPr>
              <w:pStyle w:val="5BodyText"/>
              <w:rPr>
                <w:color w:val="333333" w:themeColor="background1"/>
              </w:rPr>
            </w:pPr>
            <w:r w:rsidRPr="00F041AD">
              <w:rPr>
                <w:color w:val="333333" w:themeColor="background1"/>
              </w:rPr>
              <w:t xml:space="preserve">Pursue </w:t>
            </w:r>
            <w:r w:rsidR="002B7A72" w:rsidRPr="00F041AD">
              <w:rPr>
                <w:color w:val="333333" w:themeColor="background1"/>
              </w:rPr>
              <w:t>n</w:t>
            </w:r>
            <w:r w:rsidR="00B65A50" w:rsidRPr="00F041AD">
              <w:rPr>
                <w:color w:val="333333" w:themeColor="background1"/>
              </w:rPr>
              <w:t>ear-term actions at the local level</w:t>
            </w:r>
          </w:p>
        </w:tc>
        <w:tc>
          <w:tcPr>
            <w:tcW w:w="2740" w:type="dxa"/>
            <w:tcBorders>
              <w:top w:val="nil"/>
              <w:left w:val="nil"/>
              <w:bottom w:val="single" w:sz="8" w:space="0" w:color="auto"/>
              <w:right w:val="single" w:sz="4" w:space="0" w:color="auto"/>
            </w:tcBorders>
            <w:shd w:val="clear" w:color="auto" w:fill="auto"/>
            <w:vAlign w:val="bottom"/>
            <w:hideMark/>
          </w:tcPr>
          <w:p w14:paraId="47FE3303" w14:textId="77777777" w:rsidR="00B65A50" w:rsidRPr="00F041AD" w:rsidRDefault="00B65A50" w:rsidP="00F26F54">
            <w:pPr>
              <w:pStyle w:val="5BodyText"/>
              <w:rPr>
                <w:color w:val="333333" w:themeColor="background1"/>
              </w:rPr>
            </w:pPr>
            <w:r w:rsidRPr="00F041AD">
              <w:rPr>
                <w:color w:val="333333" w:themeColor="background1"/>
              </w:rPr>
              <w:t>Local governments can leverage their unique authority to advance clean energy.</w:t>
            </w:r>
          </w:p>
        </w:tc>
        <w:tc>
          <w:tcPr>
            <w:tcW w:w="871" w:type="dxa"/>
            <w:tcBorders>
              <w:top w:val="nil"/>
              <w:left w:val="nil"/>
              <w:bottom w:val="single" w:sz="8" w:space="0" w:color="auto"/>
              <w:right w:val="single" w:sz="4" w:space="0" w:color="auto"/>
            </w:tcBorders>
            <w:shd w:val="clear" w:color="000000" w:fill="448027" w:themeFill="accent3" w:themeFillShade="BF"/>
            <w:noWrap/>
            <w:vAlign w:val="bottom"/>
            <w:hideMark/>
          </w:tcPr>
          <w:p w14:paraId="7DF7E070"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4" w:space="0" w:color="auto"/>
            </w:tcBorders>
            <w:shd w:val="clear" w:color="auto" w:fill="auto"/>
            <w:noWrap/>
            <w:vAlign w:val="bottom"/>
            <w:hideMark/>
          </w:tcPr>
          <w:p w14:paraId="296A2D89"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4" w:space="0" w:color="auto"/>
            </w:tcBorders>
            <w:shd w:val="clear" w:color="000000" w:fill="448027" w:themeFill="accent3" w:themeFillShade="BF"/>
            <w:noWrap/>
            <w:vAlign w:val="bottom"/>
            <w:hideMark/>
          </w:tcPr>
          <w:p w14:paraId="6961BC8E"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4" w:space="0" w:color="auto"/>
            </w:tcBorders>
            <w:shd w:val="clear" w:color="auto" w:fill="448027" w:themeFill="accent3" w:themeFillShade="BF"/>
            <w:noWrap/>
            <w:vAlign w:val="bottom"/>
            <w:hideMark/>
          </w:tcPr>
          <w:p w14:paraId="658B80FB"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c>
          <w:tcPr>
            <w:tcW w:w="871" w:type="dxa"/>
            <w:tcBorders>
              <w:top w:val="nil"/>
              <w:left w:val="nil"/>
              <w:bottom w:val="single" w:sz="8" w:space="0" w:color="auto"/>
              <w:right w:val="single" w:sz="8" w:space="0" w:color="auto"/>
            </w:tcBorders>
            <w:shd w:val="clear" w:color="auto" w:fill="auto"/>
            <w:noWrap/>
            <w:vAlign w:val="bottom"/>
            <w:hideMark/>
          </w:tcPr>
          <w:p w14:paraId="33DFFE84" w14:textId="77777777" w:rsidR="00B65A50" w:rsidRPr="00F041AD" w:rsidRDefault="00B65A50" w:rsidP="00F26F54">
            <w:pPr>
              <w:rPr>
                <w:rFonts w:ascii="Calibri" w:eastAsia="Times New Roman" w:hAnsi="Calibri" w:cs="Times New Roman"/>
                <w:color w:val="333333" w:themeColor="background1"/>
                <w:sz w:val="22"/>
                <w:szCs w:val="22"/>
              </w:rPr>
            </w:pPr>
            <w:r w:rsidRPr="00F041AD">
              <w:rPr>
                <w:rFonts w:ascii="Calibri" w:eastAsia="Times New Roman" w:hAnsi="Calibri" w:cs="Times New Roman"/>
                <w:color w:val="333333" w:themeColor="background1"/>
                <w:sz w:val="22"/>
                <w:szCs w:val="22"/>
              </w:rPr>
              <w:t> </w:t>
            </w:r>
          </w:p>
        </w:tc>
      </w:tr>
    </w:tbl>
    <w:p w14:paraId="69084BA6" w14:textId="77777777" w:rsidR="00B65A50" w:rsidRPr="00F041AD" w:rsidRDefault="00B65A50" w:rsidP="006D2060">
      <w:pPr>
        <w:rPr>
          <w:rFonts w:asciiTheme="minorHAnsi" w:hAnsiTheme="minorHAnsi"/>
          <w:b/>
          <w:color w:val="333333" w:themeColor="background1"/>
        </w:rPr>
      </w:pPr>
    </w:p>
    <w:p w14:paraId="1718F223" w14:textId="77777777" w:rsidR="00B65A50" w:rsidRPr="00F041AD" w:rsidRDefault="00B65A50" w:rsidP="00A45F9D">
      <w:pPr>
        <w:pStyle w:val="5BodyText"/>
        <w:rPr>
          <w:color w:val="333333" w:themeColor="background1"/>
        </w:rPr>
      </w:pPr>
    </w:p>
    <w:p w14:paraId="0F116A5A" w14:textId="77777777" w:rsidR="00B65A50" w:rsidRPr="00F041AD" w:rsidRDefault="00B65A50" w:rsidP="00A45F9D">
      <w:pPr>
        <w:pStyle w:val="5BodyText"/>
        <w:rPr>
          <w:color w:val="333333" w:themeColor="background1"/>
        </w:rPr>
      </w:pPr>
    </w:p>
    <w:p w14:paraId="2A29BD0A" w14:textId="77777777" w:rsidR="00B65A50" w:rsidRPr="00F041AD" w:rsidRDefault="00B65A50" w:rsidP="00A45F9D">
      <w:pPr>
        <w:pStyle w:val="5BodyText"/>
        <w:rPr>
          <w:color w:val="333333" w:themeColor="background1"/>
        </w:rPr>
      </w:pPr>
    </w:p>
    <w:p w14:paraId="1E45E0E8" w14:textId="77777777" w:rsidR="00B65A50" w:rsidRPr="00F041AD" w:rsidRDefault="00B65A50" w:rsidP="00A45F9D">
      <w:pPr>
        <w:pStyle w:val="5BodyText"/>
        <w:rPr>
          <w:color w:val="333333" w:themeColor="background1"/>
        </w:rPr>
      </w:pPr>
    </w:p>
    <w:p w14:paraId="79D1E790" w14:textId="77777777" w:rsidR="00B65A50" w:rsidRPr="00F041AD" w:rsidRDefault="00B65A50" w:rsidP="00A45F9D">
      <w:pPr>
        <w:pStyle w:val="5BodyText"/>
        <w:rPr>
          <w:color w:val="333333" w:themeColor="background1"/>
        </w:rPr>
      </w:pPr>
    </w:p>
    <w:p w14:paraId="04AD83DD" w14:textId="77777777" w:rsidR="00B65A50" w:rsidRPr="00F041AD" w:rsidRDefault="00B65A50" w:rsidP="00A45F9D">
      <w:pPr>
        <w:pStyle w:val="5BodyText"/>
        <w:rPr>
          <w:color w:val="333333" w:themeColor="background1"/>
        </w:rPr>
      </w:pPr>
    </w:p>
    <w:p w14:paraId="0FA87534" w14:textId="77777777" w:rsidR="00B65A50" w:rsidRPr="00F041AD" w:rsidRDefault="00B65A50" w:rsidP="00A45F9D">
      <w:pPr>
        <w:pStyle w:val="5BodyText"/>
        <w:rPr>
          <w:color w:val="333333" w:themeColor="background1"/>
        </w:rPr>
      </w:pPr>
    </w:p>
    <w:p w14:paraId="4CA4FD0B" w14:textId="77777777" w:rsidR="00B65A50" w:rsidRPr="00F041AD" w:rsidRDefault="00B65A50" w:rsidP="00A45F9D">
      <w:pPr>
        <w:pStyle w:val="5BodyText"/>
        <w:rPr>
          <w:color w:val="333333" w:themeColor="background1"/>
        </w:rPr>
      </w:pPr>
    </w:p>
    <w:p w14:paraId="708C6ED4" w14:textId="77777777" w:rsidR="00B65A50" w:rsidRPr="00F041AD" w:rsidRDefault="00B65A50" w:rsidP="00A45F9D">
      <w:pPr>
        <w:pStyle w:val="5BodyText"/>
        <w:rPr>
          <w:color w:val="333333" w:themeColor="background1"/>
        </w:rPr>
      </w:pPr>
    </w:p>
    <w:p w14:paraId="5684A111" w14:textId="77777777" w:rsidR="00B65A50" w:rsidRPr="00F041AD" w:rsidRDefault="00B65A50" w:rsidP="00A45F9D">
      <w:pPr>
        <w:pStyle w:val="5BodyText"/>
        <w:rPr>
          <w:color w:val="333333" w:themeColor="background1"/>
        </w:rPr>
      </w:pPr>
    </w:p>
    <w:p w14:paraId="3923F24D" w14:textId="77777777" w:rsidR="00B65A50" w:rsidRPr="00F041AD" w:rsidRDefault="00B65A50" w:rsidP="00A45F9D">
      <w:pPr>
        <w:pStyle w:val="5BodyText"/>
        <w:rPr>
          <w:color w:val="333333" w:themeColor="background1"/>
        </w:rPr>
      </w:pPr>
    </w:p>
    <w:p w14:paraId="4AB183C5" w14:textId="77777777" w:rsidR="00B65A50" w:rsidRPr="00F041AD" w:rsidRDefault="00B65A50" w:rsidP="00A45F9D">
      <w:pPr>
        <w:pStyle w:val="5BodyText"/>
        <w:rPr>
          <w:color w:val="333333" w:themeColor="background1"/>
        </w:rPr>
      </w:pPr>
    </w:p>
    <w:p w14:paraId="581F0CA6" w14:textId="40FCC25B" w:rsidR="00B65A50" w:rsidRPr="00F041AD" w:rsidRDefault="0039437A" w:rsidP="007F3F44">
      <w:pPr>
        <w:pStyle w:val="6BodyHighlight"/>
        <w:rPr>
          <w:color w:val="333333" w:themeColor="background1"/>
        </w:rPr>
        <w:sectPr w:rsidR="00B65A50" w:rsidRPr="00F041AD" w:rsidSect="003D402C">
          <w:footnotePr>
            <w:numFmt w:val="lowerRoman"/>
          </w:footnotePr>
          <w:endnotePr>
            <w:numFmt w:val="decimal"/>
          </w:endnotePr>
          <w:type w:val="continuous"/>
          <w:pgSz w:w="12240" w:h="15840"/>
          <w:pgMar w:top="1627" w:right="1080" w:bottom="1440" w:left="1080" w:header="720" w:footer="278" w:gutter="0"/>
          <w:cols w:space="720"/>
          <w:titlePg/>
        </w:sectPr>
      </w:pPr>
      <w:bookmarkStart w:id="97" w:name="_Toc322961617"/>
      <w:r w:rsidRPr="00F041AD">
        <w:rPr>
          <w:color w:val="333333" w:themeColor="background1"/>
        </w:rPr>
        <w:t>References</w:t>
      </w:r>
      <w:bookmarkEnd w:id="97"/>
      <w:r w:rsidR="00C17A60" w:rsidRPr="00F041AD">
        <w:rPr>
          <w:color w:val="333333" w:themeColor="background1"/>
        </w:rPr>
        <w:t xml:space="preserve"> </w:t>
      </w:r>
    </w:p>
    <w:p w14:paraId="740B876A" w14:textId="6A57B40A" w:rsidR="00B65A50" w:rsidRPr="00F041AD" w:rsidRDefault="00B65A50">
      <w:pPr>
        <w:rPr>
          <w:color w:val="333333" w:themeColor="background1"/>
          <w:sz w:val="20"/>
        </w:rPr>
      </w:pPr>
      <w:r w:rsidRPr="00F041AD">
        <w:rPr>
          <w:color w:val="333333" w:themeColor="background1"/>
        </w:rPr>
        <w:lastRenderedPageBreak/>
        <w:br w:type="page"/>
      </w:r>
    </w:p>
    <w:p w14:paraId="41A2E03D" w14:textId="77777777" w:rsidR="00B65A50" w:rsidRPr="00F041AD" w:rsidRDefault="00B65A50" w:rsidP="009B0DDD">
      <w:pPr>
        <w:pStyle w:val="5BodyText"/>
        <w:rPr>
          <w:color w:val="333333" w:themeColor="background1"/>
        </w:rPr>
        <w:sectPr w:rsidR="00B65A50" w:rsidRPr="00F041AD" w:rsidSect="003D402C">
          <w:endnotePr>
            <w:numFmt w:val="decimal"/>
          </w:endnotePr>
          <w:type w:val="continuous"/>
          <w:pgSz w:w="12240" w:h="15840"/>
          <w:pgMar w:top="1627" w:right="1080" w:bottom="1440" w:left="1080" w:header="720" w:footer="278" w:gutter="0"/>
          <w:cols w:space="720"/>
          <w:titlePg/>
        </w:sectPr>
      </w:pPr>
    </w:p>
    <w:p w14:paraId="1A3DAC37" w14:textId="197FE3D6" w:rsidR="00B65A50" w:rsidRPr="00F041AD" w:rsidRDefault="00B65A50" w:rsidP="00875F55">
      <w:pPr>
        <w:pStyle w:val="3SectionTitle"/>
        <w:rPr>
          <w:color w:val="333333" w:themeColor="background1"/>
        </w:rPr>
      </w:pPr>
      <w:bookmarkStart w:id="98" w:name="_Toc322933801"/>
      <w:bookmarkStart w:id="99" w:name="_Toc322961618"/>
      <w:bookmarkStart w:id="100" w:name="_Toc322962030"/>
      <w:bookmarkStart w:id="101" w:name="_Toc322962217"/>
      <w:r w:rsidRPr="00F041AD">
        <w:rPr>
          <w:color w:val="333333" w:themeColor="background1"/>
        </w:rPr>
        <w:lastRenderedPageBreak/>
        <w:t>4. Stakeholder identified strategies</w:t>
      </w:r>
      <w:bookmarkEnd w:id="98"/>
      <w:bookmarkEnd w:id="99"/>
      <w:bookmarkEnd w:id="100"/>
      <w:bookmarkEnd w:id="101"/>
    </w:p>
    <w:p w14:paraId="51450D06" w14:textId="77777777" w:rsidR="00B65A50" w:rsidRPr="00F041AD" w:rsidRDefault="00B65A50" w:rsidP="009B0DDD">
      <w:pPr>
        <w:pStyle w:val="5BodyText"/>
        <w:rPr>
          <w:color w:val="333333" w:themeColor="background1"/>
        </w:rPr>
      </w:pPr>
    </w:p>
    <w:p w14:paraId="7517B519" w14:textId="4966785B" w:rsidR="00B65A50" w:rsidRPr="00F041AD" w:rsidRDefault="00B65A50" w:rsidP="00875F55">
      <w:pPr>
        <w:pStyle w:val="3SectionTitle"/>
        <w:rPr>
          <w:color w:val="333333" w:themeColor="background1"/>
        </w:rPr>
      </w:pPr>
      <w:bookmarkStart w:id="102" w:name="_Toc322933802"/>
      <w:bookmarkStart w:id="103" w:name="_Toc322961619"/>
      <w:bookmarkStart w:id="104" w:name="_Toc322962031"/>
      <w:bookmarkStart w:id="105" w:name="_Toc322962218"/>
      <w:r w:rsidRPr="00F041AD">
        <w:rPr>
          <w:color w:val="333333" w:themeColor="background1"/>
        </w:rPr>
        <w:t>A. Transportation</w:t>
      </w:r>
      <w:bookmarkEnd w:id="102"/>
      <w:bookmarkEnd w:id="103"/>
      <w:bookmarkEnd w:id="104"/>
      <w:bookmarkEnd w:id="105"/>
    </w:p>
    <w:p w14:paraId="298B8528" w14:textId="77777777" w:rsidR="00B65A50" w:rsidRPr="00F041AD" w:rsidRDefault="00B65A50" w:rsidP="009B0DDD">
      <w:pPr>
        <w:pStyle w:val="5BodyText"/>
        <w:rPr>
          <w:color w:val="333333" w:themeColor="background1"/>
        </w:rPr>
      </w:pPr>
    </w:p>
    <w:p w14:paraId="5A69037E" w14:textId="77777777" w:rsidR="00B65A50" w:rsidRPr="00F041AD" w:rsidRDefault="00B65A50" w:rsidP="007F3F44">
      <w:pPr>
        <w:pStyle w:val="6BodyHighlight"/>
        <w:rPr>
          <w:color w:val="333333" w:themeColor="background1"/>
        </w:rPr>
      </w:pPr>
      <w:bookmarkStart w:id="106" w:name="_Toc322961620"/>
      <w:r w:rsidRPr="00F041AD">
        <w:rPr>
          <w:color w:val="333333" w:themeColor="background1"/>
        </w:rPr>
        <w:t>Section summary</w:t>
      </w:r>
      <w:bookmarkEnd w:id="106"/>
    </w:p>
    <w:p w14:paraId="09B7DC36" w14:textId="709E99F8" w:rsidR="00B65A50" w:rsidRPr="00F041AD" w:rsidRDefault="00B65A50" w:rsidP="00F655E6">
      <w:pPr>
        <w:pStyle w:val="5BodyText"/>
        <w:rPr>
          <w:color w:val="333333" w:themeColor="background1"/>
        </w:rPr>
      </w:pPr>
      <w:r w:rsidRPr="00F041AD">
        <w:rPr>
          <w:color w:val="333333" w:themeColor="background1"/>
        </w:rPr>
        <w:t>The transportation sector accounts for more than 28 percent of the state’s primary energy use and 25 percent of the state’s greenhouse gas emissions.</w:t>
      </w:r>
      <w:r w:rsidRPr="00F041AD">
        <w:rPr>
          <w:rStyle w:val="EndnoteReference"/>
          <w:color w:val="333333" w:themeColor="background1"/>
        </w:rPr>
        <w:endnoteReference w:id="66"/>
      </w:r>
      <w:r w:rsidR="00F041AD" w:rsidRPr="00F041AD">
        <w:rPr>
          <w:color w:val="333333" w:themeColor="background1"/>
          <w:vertAlign w:val="superscript"/>
        </w:rPr>
        <w:t>,</w:t>
      </w:r>
      <w:r w:rsidRPr="00F041AD">
        <w:rPr>
          <w:rStyle w:val="EndnoteReference"/>
          <w:color w:val="333333" w:themeColor="background1"/>
        </w:rPr>
        <w:endnoteReference w:id="67"/>
      </w:r>
      <w:r w:rsidR="00F041AD" w:rsidRPr="00F041AD">
        <w:rPr>
          <w:color w:val="333333" w:themeColor="background1"/>
        </w:rPr>
        <w:t xml:space="preserve"> </w:t>
      </w:r>
      <w:r w:rsidRPr="00F041AD">
        <w:rPr>
          <w:color w:val="333333" w:themeColor="background1"/>
        </w:rPr>
        <w:t>The transportation sector also accounts for well over 50 percent of Minnesotans’ energy spending.</w:t>
      </w:r>
      <w:r w:rsidRPr="00F041AD">
        <w:rPr>
          <w:rStyle w:val="EndnoteReference"/>
          <w:color w:val="333333" w:themeColor="background1"/>
        </w:rPr>
        <w:t xml:space="preserve"> </w:t>
      </w:r>
      <w:r w:rsidRPr="00F041AD">
        <w:rPr>
          <w:rStyle w:val="EndnoteReference"/>
          <w:color w:val="333333" w:themeColor="background1"/>
        </w:rPr>
        <w:endnoteReference w:id="68"/>
      </w:r>
      <w:r w:rsidRPr="00F041AD">
        <w:rPr>
          <w:color w:val="333333" w:themeColor="background1"/>
        </w:rPr>
        <w:t xml:space="preserve"> In 2014, Minnesotans spent $11 billion on transportation fuels, the vast majority of which are imported from out of state. </w:t>
      </w:r>
      <w:r w:rsidRPr="00F041AD">
        <w:rPr>
          <w:rStyle w:val="EndnoteReference"/>
          <w:color w:val="333333" w:themeColor="background1"/>
        </w:rPr>
        <w:endnoteReference w:id="69"/>
      </w:r>
    </w:p>
    <w:p w14:paraId="6D87A927" w14:textId="77777777" w:rsidR="00B65A50" w:rsidRPr="00F041AD" w:rsidRDefault="00B65A50" w:rsidP="00F655E6">
      <w:pPr>
        <w:pStyle w:val="5BodyText"/>
        <w:rPr>
          <w:color w:val="333333" w:themeColor="background1"/>
        </w:rPr>
      </w:pPr>
    </w:p>
    <w:p w14:paraId="08713D73" w14:textId="77777777" w:rsidR="00B65A50" w:rsidRPr="00F041AD" w:rsidRDefault="00B65A50" w:rsidP="00F655E6">
      <w:pPr>
        <w:pStyle w:val="5BodyText"/>
        <w:rPr>
          <w:color w:val="333333" w:themeColor="background1"/>
        </w:rPr>
      </w:pPr>
      <w:r w:rsidRPr="00F041AD">
        <w:rPr>
          <w:color w:val="333333" w:themeColor="background1"/>
        </w:rPr>
        <w:t xml:space="preserve">The opportunity to reduce the cost of transportation and increase the sector’s clean energy footprint is significant. Stakeholders’ recommendations for the transportation sector fall into two key categories: electric vehicles and alternative fuel vehicles. </w:t>
      </w:r>
    </w:p>
    <w:p w14:paraId="7B4F170D" w14:textId="77777777" w:rsidR="00B65A50" w:rsidRPr="00F041AD" w:rsidRDefault="00B65A50" w:rsidP="00F655E6">
      <w:pPr>
        <w:pStyle w:val="5BodyText"/>
        <w:rPr>
          <w:color w:val="333333" w:themeColor="background1"/>
        </w:rPr>
      </w:pPr>
    </w:p>
    <w:p w14:paraId="2434495B" w14:textId="77777777" w:rsidR="00B65A50" w:rsidRPr="00F041AD" w:rsidRDefault="00B65A50" w:rsidP="00F655E6">
      <w:pPr>
        <w:pStyle w:val="5BodyText"/>
        <w:rPr>
          <w:b/>
          <w:color w:val="333333" w:themeColor="background1"/>
        </w:rPr>
      </w:pPr>
      <w:r w:rsidRPr="00F041AD">
        <w:rPr>
          <w:b/>
          <w:color w:val="333333" w:themeColor="background1"/>
        </w:rPr>
        <w:t>Electric vehicles</w:t>
      </w:r>
    </w:p>
    <w:p w14:paraId="04EEF6D0" w14:textId="77777777" w:rsidR="00B65A50" w:rsidRPr="00F041AD" w:rsidRDefault="00B65A50" w:rsidP="00F655E6">
      <w:pPr>
        <w:pStyle w:val="5BodyText"/>
        <w:rPr>
          <w:color w:val="333333" w:themeColor="background1"/>
        </w:rPr>
      </w:pPr>
      <w:r w:rsidRPr="00F041AD">
        <w:rPr>
          <w:color w:val="333333" w:themeColor="background1"/>
        </w:rPr>
        <w:t xml:space="preserve">Electric vehicles (EVs) are quickly becoming a desirable option for consumers, due to rapid advances in technology and declines in cost. Compared with conventional vehicles, EVs offer reduced fuel and operations and maintenance costs, as well as decreased air pollution. Stakeholders recommended several actions related to electric vehicles: </w:t>
      </w:r>
    </w:p>
    <w:p w14:paraId="5E7F395D" w14:textId="77777777" w:rsidR="00B65A50" w:rsidRPr="00F041AD" w:rsidRDefault="00B65A50" w:rsidP="00F655E6">
      <w:pPr>
        <w:pStyle w:val="5BodyText"/>
        <w:rPr>
          <w:color w:val="333333" w:themeColor="background1"/>
        </w:rPr>
      </w:pPr>
    </w:p>
    <w:p w14:paraId="51C8A0A4" w14:textId="77777777" w:rsidR="00B65A50" w:rsidRPr="00F041AD" w:rsidRDefault="00B65A50" w:rsidP="00F655E6">
      <w:pPr>
        <w:pStyle w:val="5BodyText"/>
        <w:numPr>
          <w:ilvl w:val="0"/>
          <w:numId w:val="58"/>
        </w:numPr>
        <w:rPr>
          <w:i/>
          <w:color w:val="333333" w:themeColor="background1"/>
        </w:rPr>
      </w:pPr>
      <w:r w:rsidRPr="00F041AD">
        <w:rPr>
          <w:b/>
          <w:color w:val="333333" w:themeColor="background1"/>
        </w:rPr>
        <w:t>Increase adoption of personal electric vehicles</w:t>
      </w:r>
      <w:r w:rsidRPr="00F041AD">
        <w:rPr>
          <w:color w:val="333333" w:themeColor="background1"/>
        </w:rPr>
        <w:t xml:space="preserve"> through bulk discount arrangements, incentives for new EV purchases, and expanded workplace charging; </w:t>
      </w:r>
    </w:p>
    <w:p w14:paraId="18C79716" w14:textId="4B06405C" w:rsidR="00B65A50" w:rsidRPr="00F041AD" w:rsidRDefault="000030AF" w:rsidP="00F655E6">
      <w:pPr>
        <w:pStyle w:val="5BodyText"/>
        <w:numPr>
          <w:ilvl w:val="0"/>
          <w:numId w:val="58"/>
        </w:numPr>
        <w:rPr>
          <w:color w:val="333333" w:themeColor="background1"/>
        </w:rPr>
      </w:pPr>
      <w:r w:rsidRPr="00F041AD">
        <w:rPr>
          <w:b/>
          <w:color w:val="333333" w:themeColor="background1"/>
        </w:rPr>
        <w:t>Electrify fleet vehicles</w:t>
      </w:r>
      <w:r w:rsidR="00B65A50" w:rsidRPr="00F041AD">
        <w:rPr>
          <w:color w:val="333333" w:themeColor="background1"/>
        </w:rPr>
        <w:t xml:space="preserve"> by creating a bulk purchase arrangement and convening an EV procurement workshop for fleet managers; and</w:t>
      </w:r>
    </w:p>
    <w:p w14:paraId="3BFBE2DC" w14:textId="46B388ED" w:rsidR="00B65A50" w:rsidRPr="00F041AD" w:rsidRDefault="000030AF" w:rsidP="00F655E6">
      <w:pPr>
        <w:pStyle w:val="5BodyText"/>
        <w:numPr>
          <w:ilvl w:val="0"/>
          <w:numId w:val="58"/>
        </w:numPr>
        <w:rPr>
          <w:color w:val="333333" w:themeColor="background1"/>
        </w:rPr>
      </w:pPr>
      <w:r w:rsidRPr="00F041AD">
        <w:rPr>
          <w:b/>
          <w:color w:val="333333" w:themeColor="background1"/>
        </w:rPr>
        <w:t>Electrify</w:t>
      </w:r>
      <w:r w:rsidR="00B65A50" w:rsidRPr="00F041AD">
        <w:rPr>
          <w:b/>
          <w:color w:val="333333" w:themeColor="background1"/>
        </w:rPr>
        <w:t xml:space="preserve"> buses </w:t>
      </w:r>
      <w:r w:rsidR="000612F6" w:rsidRPr="00F041AD">
        <w:rPr>
          <w:color w:val="333333" w:themeColor="background1"/>
        </w:rPr>
        <w:t>through</w:t>
      </w:r>
      <w:r w:rsidR="00B65A50" w:rsidRPr="00F041AD">
        <w:rPr>
          <w:color w:val="333333" w:themeColor="background1"/>
        </w:rPr>
        <w:t xml:space="preserve"> validating lifecycle cost studies and demonstrating electric buses on urban and suburban transit routes.</w:t>
      </w:r>
    </w:p>
    <w:p w14:paraId="493AF0C8" w14:textId="77777777" w:rsidR="00B65A50" w:rsidRPr="00F041AD" w:rsidRDefault="00B65A50" w:rsidP="00F655E6">
      <w:pPr>
        <w:pStyle w:val="5BodyText"/>
        <w:rPr>
          <w:color w:val="333333" w:themeColor="background1"/>
        </w:rPr>
      </w:pPr>
    </w:p>
    <w:p w14:paraId="753400D8" w14:textId="77777777" w:rsidR="00B65A50" w:rsidRPr="00F041AD" w:rsidRDefault="00B65A50" w:rsidP="00F655E6">
      <w:pPr>
        <w:pStyle w:val="5BodyText"/>
        <w:rPr>
          <w:b/>
          <w:color w:val="333333" w:themeColor="background1"/>
        </w:rPr>
      </w:pPr>
      <w:r w:rsidRPr="00F041AD">
        <w:rPr>
          <w:b/>
          <w:color w:val="333333" w:themeColor="background1"/>
        </w:rPr>
        <w:t>Alternative fuel vehicles</w:t>
      </w:r>
    </w:p>
    <w:p w14:paraId="671156A7" w14:textId="77777777" w:rsidR="00B65A50" w:rsidRPr="00F041AD" w:rsidRDefault="00B65A50" w:rsidP="00F655E6">
      <w:pPr>
        <w:pStyle w:val="5BodyText"/>
        <w:rPr>
          <w:color w:val="333333" w:themeColor="background1"/>
        </w:rPr>
      </w:pPr>
      <w:r w:rsidRPr="00F041AD">
        <w:rPr>
          <w:color w:val="333333" w:themeColor="background1"/>
        </w:rPr>
        <w:t>Alternative fuel vehicles (AFVs)—which run on energy sources other than petroleum—are also an attractive transportation option. AFVs can bolster the state economy, since their fuel sources can be produced in Minnesota. Further, their carbon emissions are lower than conventional vehicles, and they offer longer ranges than electric vehicles. Stakeholders recommended that Minnesota:</w:t>
      </w:r>
    </w:p>
    <w:p w14:paraId="1F362BFF" w14:textId="77777777" w:rsidR="00B65A50" w:rsidRPr="00F041AD" w:rsidRDefault="00B65A50" w:rsidP="00F655E6">
      <w:pPr>
        <w:pStyle w:val="5BodyText"/>
        <w:rPr>
          <w:color w:val="333333" w:themeColor="background1"/>
        </w:rPr>
      </w:pPr>
    </w:p>
    <w:p w14:paraId="7C429B9E" w14:textId="73B396DC" w:rsidR="00B65A50" w:rsidRPr="00F041AD" w:rsidRDefault="00B65A50" w:rsidP="00F655E6">
      <w:pPr>
        <w:pStyle w:val="5BodyText"/>
        <w:numPr>
          <w:ilvl w:val="0"/>
          <w:numId w:val="59"/>
        </w:numPr>
        <w:rPr>
          <w:color w:val="333333" w:themeColor="background1"/>
        </w:rPr>
      </w:pPr>
      <w:r w:rsidRPr="00F041AD">
        <w:rPr>
          <w:b/>
          <w:color w:val="333333" w:themeColor="background1"/>
        </w:rPr>
        <w:t>Increase adoption</w:t>
      </w:r>
      <w:r w:rsidR="00157CD3" w:rsidRPr="00F041AD">
        <w:rPr>
          <w:b/>
          <w:color w:val="333333" w:themeColor="background1"/>
        </w:rPr>
        <w:t xml:space="preserve"> of heavy-duty alternative-fuel</w:t>
      </w:r>
      <w:r w:rsidRPr="00F041AD">
        <w:rPr>
          <w:b/>
          <w:color w:val="333333" w:themeColor="background1"/>
        </w:rPr>
        <w:t xml:space="preserve"> vehicles</w:t>
      </w:r>
      <w:r w:rsidRPr="00F041AD">
        <w:rPr>
          <w:color w:val="333333" w:themeColor="background1"/>
        </w:rPr>
        <w:t xml:space="preserve"> with natural gas from anaerobic digestion as a fuel source. </w:t>
      </w:r>
    </w:p>
    <w:p w14:paraId="2258EF44" w14:textId="77777777" w:rsidR="00B65A50" w:rsidRPr="00F041AD" w:rsidRDefault="00B65A50" w:rsidP="00F655E6">
      <w:pPr>
        <w:pStyle w:val="5BodyText"/>
        <w:rPr>
          <w:color w:val="333333" w:themeColor="background1"/>
        </w:rPr>
      </w:pPr>
      <w:r w:rsidRPr="00F041AD">
        <w:rPr>
          <w:color w:val="333333" w:themeColor="background1"/>
        </w:rPr>
        <w:t xml:space="preserve"> </w:t>
      </w:r>
    </w:p>
    <w:p w14:paraId="48DFC8B6" w14:textId="77777777" w:rsidR="00B65A50" w:rsidRPr="00F041AD" w:rsidRDefault="00B65A50" w:rsidP="00F655E6">
      <w:pPr>
        <w:pStyle w:val="5BodyText"/>
        <w:rPr>
          <w:color w:val="333333" w:themeColor="background1"/>
        </w:rPr>
      </w:pPr>
      <w:r w:rsidRPr="00F041AD">
        <w:rPr>
          <w:color w:val="333333" w:themeColor="background1"/>
        </w:rPr>
        <w:br w:type="column"/>
      </w:r>
    </w:p>
    <w:p w14:paraId="4C23D31F" w14:textId="082CCF28" w:rsidR="00B65A50" w:rsidRPr="00F041AD" w:rsidRDefault="00B65A50" w:rsidP="007F3F44">
      <w:pPr>
        <w:pStyle w:val="6BodyHighlight"/>
        <w:rPr>
          <w:color w:val="333333" w:themeColor="background1"/>
        </w:rPr>
      </w:pPr>
      <w:bookmarkStart w:id="107" w:name="_Toc322961621"/>
      <w:r w:rsidRPr="00F041AD">
        <w:rPr>
          <w:color w:val="333333" w:themeColor="background1"/>
        </w:rPr>
        <w:t>Energy profile</w:t>
      </w:r>
      <w:bookmarkEnd w:id="107"/>
    </w:p>
    <w:p w14:paraId="15672069" w14:textId="3A13F4AB" w:rsidR="00B65A50" w:rsidRPr="00F041AD" w:rsidRDefault="00B65A50" w:rsidP="00F655E6">
      <w:pPr>
        <w:pStyle w:val="5BodyText"/>
        <w:rPr>
          <w:color w:val="333333" w:themeColor="background1"/>
        </w:rPr>
      </w:pPr>
      <w:r w:rsidRPr="00F041AD">
        <w:rPr>
          <w:noProof/>
          <w:color w:val="333333" w:themeColor="background1"/>
          <w:lang w:eastAsia="en-US"/>
        </w:rPr>
        <mc:AlternateContent>
          <mc:Choice Requires="wps">
            <w:drawing>
              <wp:anchor distT="0" distB="0" distL="114300" distR="114300" simplePos="0" relativeHeight="251695104" behindDoc="0" locked="0" layoutInCell="1" allowOverlap="1" wp14:anchorId="3856CB8D" wp14:editId="31621307">
                <wp:simplePos x="0" y="0"/>
                <wp:positionH relativeFrom="column">
                  <wp:posOffset>3822065</wp:posOffset>
                </wp:positionH>
                <wp:positionV relativeFrom="paragraph">
                  <wp:posOffset>2540</wp:posOffset>
                </wp:positionV>
                <wp:extent cx="2514600" cy="3768725"/>
                <wp:effectExtent l="0" t="0" r="0" b="3175"/>
                <wp:wrapSquare wrapText="bothSides"/>
                <wp:docPr id="24" name="Text Box 24"/>
                <wp:cNvGraphicFramePr/>
                <a:graphic xmlns:a="http://schemas.openxmlformats.org/drawingml/2006/main">
                  <a:graphicData uri="http://schemas.microsoft.com/office/word/2010/wordprocessingShape">
                    <wps:wsp>
                      <wps:cNvSpPr txBox="1"/>
                      <wps:spPr>
                        <a:xfrm>
                          <a:off x="0" y="0"/>
                          <a:ext cx="2514600" cy="37687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9F1A62" w14:textId="77777777" w:rsidR="006506BB" w:rsidRPr="00A35F80" w:rsidRDefault="006506BB" w:rsidP="00F655E6">
                            <w:pPr>
                              <w:pStyle w:val="4Quote"/>
                              <w:rPr>
                                <w:sz w:val="36"/>
                              </w:rPr>
                            </w:pPr>
                            <w:r w:rsidRPr="00A35F80">
                              <w:rPr>
                                <w:sz w:val="36"/>
                              </w:rPr>
                              <w:t xml:space="preserve">In 2014, Minnesotans spent $11 billion on transportation fuel, which are imported from out of state. Adopting electric vehicles and alternative fuel vehicles will allow Minnesota to keep more energy dollars in the state.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2" type="#_x0000_t202" style="position:absolute;margin-left:300.95pt;margin-top:.2pt;width:198pt;height:296.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" filled="f" stroked="f">
                <v:textbox>
                  <w:txbxContent>
                    <w:p w14:paraId="5B9F1A62" w14:textId="77777777" w:rsidR="006506BB" w:rsidRPr="00A35F80" w:rsidRDefault="006506BB" w:rsidP="00F655E6">
                      <w:pPr>
                        <w:pStyle w:val="4Quote"/>
                        <w:rPr>
                          <w:sz w:val="36"/>
                        </w:rPr>
                      </w:pPr>
                      <w:r w:rsidRPr="00A35F80">
                        <w:rPr>
                          <w:sz w:val="36"/>
                        </w:rPr>
                        <w:t xml:space="preserve">In 2014, Minnesotans spent $11 billion on transportation fuel, which are imported from out of state. Adopting electric vehicles and alternative fuel vehicles will allow Minnesota to keep more energy dollars in the state.  </w:t>
                      </w:r>
                    </w:p>
                  </w:txbxContent>
                </v:textbox>
                <w10:wrap type="square"/>
              </v:shape>
            </w:pict>
          </mc:Fallback>
        </mc:AlternateContent>
      </w:r>
      <w:r w:rsidRPr="00F041AD">
        <w:rPr>
          <w:color w:val="333333" w:themeColor="background1"/>
        </w:rPr>
        <w:t>The transportation sector is a major source of energy use, greenhouse gas emissions, and energy-related costs in Minnesota. The transportation sector accounted for 28 percent of the state’s energy use and for 25 percent of the state’s greenhouse gas emissions in 2012, and for over 50 percent of Minnesotans’ spending on energy in 2013.</w:t>
      </w:r>
      <w:r w:rsidRPr="00F041AD">
        <w:rPr>
          <w:color w:val="333333" w:themeColor="background1"/>
          <w:vertAlign w:val="superscript"/>
        </w:rPr>
        <w:t xml:space="preserve"> </w:t>
      </w:r>
      <w:r w:rsidRPr="00F041AD">
        <w:rPr>
          <w:color w:val="333333" w:themeColor="background1"/>
          <w:vertAlign w:val="superscript"/>
        </w:rPr>
        <w:endnoteReference w:id="70"/>
      </w:r>
      <w:r w:rsidRPr="00F041AD">
        <w:rPr>
          <w:color w:val="333333" w:themeColor="background1"/>
          <w:vertAlign w:val="superscript"/>
        </w:rPr>
        <w:t xml:space="preserve"> </w:t>
      </w:r>
      <w:r w:rsidRPr="00F041AD">
        <w:rPr>
          <w:color w:val="333333" w:themeColor="background1"/>
          <w:vertAlign w:val="superscript"/>
        </w:rPr>
        <w:endnoteReference w:id="71"/>
      </w:r>
      <w:r w:rsidRPr="00F041AD">
        <w:rPr>
          <w:color w:val="333333" w:themeColor="background1"/>
        </w:rPr>
        <w:t xml:space="preserve"> </w:t>
      </w:r>
      <w:r w:rsidRPr="00F041AD">
        <w:rPr>
          <w:rStyle w:val="EndnoteReference"/>
          <w:color w:val="333333" w:themeColor="background1"/>
        </w:rPr>
        <w:endnoteReference w:id="72"/>
      </w:r>
      <w:r w:rsidRPr="00F041AD">
        <w:rPr>
          <w:color w:val="333333" w:themeColor="background1"/>
        </w:rPr>
        <w:t xml:space="preserve"> Between 2005 and 2012, transportation sector greenhouse gas emissions declined by eight percent, which can be attributed to higher fuel efficiency, according to the Minnesota Pollution Control Agency (MPCA).</w:t>
      </w:r>
      <w:r w:rsidRPr="00F041AD">
        <w:rPr>
          <w:color w:val="333333" w:themeColor="background1"/>
          <w:vertAlign w:val="superscript"/>
        </w:rPr>
        <w:endnoteReference w:id="73"/>
      </w:r>
      <w:r w:rsidRPr="00F041AD">
        <w:rPr>
          <w:color w:val="333333" w:themeColor="background1"/>
        </w:rPr>
        <w:t xml:space="preserve"> Looking ahead over the next decade, MPCA projects transportation sector emissions to remain roughly stable.</w:t>
      </w:r>
      <w:r w:rsidRPr="00F041AD">
        <w:rPr>
          <w:color w:val="333333" w:themeColor="background1"/>
          <w:vertAlign w:val="superscript"/>
        </w:rPr>
        <w:endnoteReference w:id="74"/>
      </w:r>
    </w:p>
    <w:p w14:paraId="30530EF2" w14:textId="77777777" w:rsidR="00B65A50" w:rsidRPr="00F041AD" w:rsidRDefault="00B65A50" w:rsidP="00F655E6">
      <w:pPr>
        <w:pStyle w:val="5BodyText"/>
        <w:rPr>
          <w:color w:val="333333" w:themeColor="background1"/>
        </w:rPr>
      </w:pPr>
    </w:p>
    <w:p w14:paraId="7D713998" w14:textId="46FC28B6" w:rsidR="00B65A50" w:rsidRPr="00F041AD" w:rsidRDefault="00B65A50" w:rsidP="00F655E6">
      <w:pPr>
        <w:pStyle w:val="5BodyText"/>
        <w:rPr>
          <w:color w:val="333333" w:themeColor="background1"/>
        </w:rPr>
      </w:pPr>
      <w:r w:rsidRPr="00F041AD">
        <w:rPr>
          <w:color w:val="333333" w:themeColor="background1"/>
        </w:rPr>
        <w:t xml:space="preserve">In 2014, Minnesota’s system of roads carried approximately 57 billion vehicle miles of travel (VMT), with an annual per capita VMT of roughly 11,000 miles (see </w:t>
      </w:r>
      <w:r w:rsidRPr="00F041AD">
        <w:rPr>
          <w:color w:val="333333" w:themeColor="background1"/>
        </w:rPr>
        <w:fldChar w:fldCharType="begin"/>
      </w:r>
      <w:r w:rsidRPr="00F041AD">
        <w:rPr>
          <w:color w:val="333333" w:themeColor="background1"/>
        </w:rPr>
        <w:instrText xml:space="preserve"> REF _Ref322856211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Figure </w:t>
      </w:r>
      <w:r w:rsidR="00171E58">
        <w:rPr>
          <w:noProof/>
          <w:color w:val="333333" w:themeColor="background1"/>
        </w:rPr>
        <w:t>11</w:t>
      </w:r>
      <w:r w:rsidRPr="00F041AD">
        <w:rPr>
          <w:color w:val="333333" w:themeColor="background1"/>
        </w:rPr>
        <w:fldChar w:fldCharType="end"/>
      </w:r>
      <w:r w:rsidRPr="00F041AD">
        <w:rPr>
          <w:color w:val="333333" w:themeColor="background1"/>
        </w:rPr>
        <w:t xml:space="preserve"> below). According to a 2013 US Department of Transportation survey, 78 percent of Minnesotan commuters report driving alone to work, roughly nine percent carpooling and three percent using transit. </w:t>
      </w:r>
    </w:p>
    <w:p w14:paraId="7BBB7AB2" w14:textId="77777777" w:rsidR="00B65A50" w:rsidRPr="00F041AD" w:rsidRDefault="00B65A50" w:rsidP="00F655E6">
      <w:pPr>
        <w:pStyle w:val="5BodyText"/>
        <w:rPr>
          <w:color w:val="333333" w:themeColor="background1"/>
        </w:rPr>
      </w:pPr>
    </w:p>
    <w:p w14:paraId="625EEFE1" w14:textId="20796FFE" w:rsidR="00B65A50" w:rsidRPr="00F041AD" w:rsidRDefault="00B65A50" w:rsidP="00F655E6">
      <w:pPr>
        <w:pStyle w:val="7Caption"/>
        <w:rPr>
          <w:color w:val="333333" w:themeColor="background1"/>
        </w:rPr>
      </w:pPr>
      <w:bookmarkStart w:id="108" w:name="_Ref322856211"/>
      <w:bookmarkStart w:id="109" w:name="_Toc322958520"/>
      <w:r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11</w:t>
      </w:r>
      <w:r w:rsidR="0010025D" w:rsidRPr="00F041AD">
        <w:rPr>
          <w:noProof/>
          <w:color w:val="333333" w:themeColor="background1"/>
        </w:rPr>
        <w:fldChar w:fldCharType="end"/>
      </w:r>
      <w:bookmarkEnd w:id="108"/>
      <w:r w:rsidR="001D7211" w:rsidRPr="00F041AD">
        <w:rPr>
          <w:noProof/>
          <w:color w:val="333333" w:themeColor="background1"/>
        </w:rPr>
        <w:t>:</w:t>
      </w:r>
      <w:r w:rsidRPr="00F041AD">
        <w:rPr>
          <w:color w:val="333333" w:themeColor="background1"/>
        </w:rPr>
        <w:t xml:space="preserve"> Means of Transportation to Work, Minnesota 2013, U.S. Department of transportation</w:t>
      </w:r>
      <w:r w:rsidRPr="00F041AD">
        <w:rPr>
          <w:color w:val="333333" w:themeColor="background1"/>
          <w:vertAlign w:val="superscript"/>
        </w:rPr>
        <w:endnoteReference w:id="75"/>
      </w:r>
      <w:bookmarkEnd w:id="109"/>
    </w:p>
    <w:p w14:paraId="6F257642" w14:textId="77777777" w:rsidR="00B65A50" w:rsidRPr="00F041AD" w:rsidRDefault="00B65A50" w:rsidP="00F655E6">
      <w:pPr>
        <w:pStyle w:val="5BodyText"/>
        <w:rPr>
          <w:color w:val="333333" w:themeColor="background1"/>
        </w:rPr>
      </w:pPr>
    </w:p>
    <w:tbl>
      <w:tblPr>
        <w:tblW w:w="6750" w:type="dxa"/>
        <w:tblLayout w:type="fixed"/>
        <w:tblLook w:val="0400" w:firstRow="0" w:lastRow="0" w:firstColumn="0" w:lastColumn="0" w:noHBand="0" w:noVBand="1"/>
      </w:tblPr>
      <w:tblGrid>
        <w:gridCol w:w="3660"/>
        <w:gridCol w:w="1695"/>
        <w:gridCol w:w="1395"/>
      </w:tblGrid>
      <w:tr w:rsidR="00B65A50" w:rsidRPr="00F041AD" w14:paraId="1EA65665" w14:textId="77777777" w:rsidTr="00211102">
        <w:tc>
          <w:tcPr>
            <w:tcW w:w="3660" w:type="dxa"/>
          </w:tcPr>
          <w:p w14:paraId="0B36B4EC" w14:textId="77777777" w:rsidR="00B65A50" w:rsidRPr="00F041AD" w:rsidRDefault="00B65A50" w:rsidP="00211102">
            <w:pPr>
              <w:pStyle w:val="5BodyText"/>
              <w:rPr>
                <w:i/>
                <w:color w:val="333333" w:themeColor="background1"/>
              </w:rPr>
            </w:pPr>
            <w:r w:rsidRPr="00F041AD">
              <w:rPr>
                <w:color w:val="333333" w:themeColor="background1"/>
              </w:rPr>
              <w:t>Means of Transportation to Work</w:t>
            </w:r>
          </w:p>
        </w:tc>
        <w:tc>
          <w:tcPr>
            <w:tcW w:w="1695" w:type="dxa"/>
          </w:tcPr>
          <w:p w14:paraId="4CC7676C" w14:textId="77777777" w:rsidR="00B65A50" w:rsidRPr="00F041AD" w:rsidRDefault="00B65A50" w:rsidP="00211102">
            <w:pPr>
              <w:pStyle w:val="5BodyText"/>
              <w:rPr>
                <w:i/>
                <w:color w:val="333333" w:themeColor="background1"/>
              </w:rPr>
            </w:pPr>
            <w:r w:rsidRPr="00F041AD">
              <w:rPr>
                <w:color w:val="333333" w:themeColor="background1"/>
              </w:rPr>
              <w:t>Number</w:t>
            </w:r>
          </w:p>
        </w:tc>
        <w:tc>
          <w:tcPr>
            <w:tcW w:w="1395" w:type="dxa"/>
          </w:tcPr>
          <w:p w14:paraId="18D78216" w14:textId="77777777" w:rsidR="00B65A50" w:rsidRPr="00F041AD" w:rsidRDefault="00B65A50" w:rsidP="00211102">
            <w:pPr>
              <w:pStyle w:val="5BodyText"/>
              <w:rPr>
                <w:i/>
                <w:color w:val="333333" w:themeColor="background1"/>
              </w:rPr>
            </w:pPr>
            <w:r w:rsidRPr="00F041AD">
              <w:rPr>
                <w:color w:val="333333" w:themeColor="background1"/>
              </w:rPr>
              <w:t>Percent Total</w:t>
            </w:r>
          </w:p>
        </w:tc>
      </w:tr>
      <w:tr w:rsidR="00B65A50" w:rsidRPr="00F041AD" w14:paraId="30B01DF9" w14:textId="77777777" w:rsidTr="00211102">
        <w:tc>
          <w:tcPr>
            <w:tcW w:w="3660" w:type="dxa"/>
          </w:tcPr>
          <w:p w14:paraId="6E4D1058" w14:textId="77777777" w:rsidR="00B65A50" w:rsidRPr="00F041AD" w:rsidRDefault="00B65A50" w:rsidP="00211102">
            <w:pPr>
              <w:pStyle w:val="5BodyText"/>
              <w:rPr>
                <w:color w:val="333333" w:themeColor="background1"/>
              </w:rPr>
            </w:pPr>
            <w:r w:rsidRPr="00F041AD">
              <w:rPr>
                <w:color w:val="333333" w:themeColor="background1"/>
              </w:rPr>
              <w:t>Drive alone</w:t>
            </w:r>
          </w:p>
        </w:tc>
        <w:tc>
          <w:tcPr>
            <w:tcW w:w="1695" w:type="dxa"/>
          </w:tcPr>
          <w:p w14:paraId="1D78EDE4" w14:textId="77777777" w:rsidR="00B65A50" w:rsidRPr="00F041AD" w:rsidRDefault="00B65A50" w:rsidP="00211102">
            <w:pPr>
              <w:pStyle w:val="5BodyText"/>
              <w:rPr>
                <w:i/>
                <w:color w:val="333333" w:themeColor="background1"/>
              </w:rPr>
            </w:pPr>
            <w:r w:rsidRPr="00F041AD">
              <w:rPr>
                <w:color w:val="333333" w:themeColor="background1"/>
              </w:rPr>
              <w:t>2,136,394</w:t>
            </w:r>
          </w:p>
        </w:tc>
        <w:tc>
          <w:tcPr>
            <w:tcW w:w="1395" w:type="dxa"/>
          </w:tcPr>
          <w:p w14:paraId="434B0949" w14:textId="77777777" w:rsidR="00B65A50" w:rsidRPr="00F041AD" w:rsidRDefault="00B65A50" w:rsidP="00211102">
            <w:pPr>
              <w:pStyle w:val="5BodyText"/>
              <w:rPr>
                <w:i/>
                <w:color w:val="333333" w:themeColor="background1"/>
              </w:rPr>
            </w:pPr>
            <w:r w:rsidRPr="00F041AD">
              <w:rPr>
                <w:color w:val="333333" w:themeColor="background1"/>
              </w:rPr>
              <w:t>78.1%</w:t>
            </w:r>
          </w:p>
        </w:tc>
      </w:tr>
      <w:tr w:rsidR="00B65A50" w:rsidRPr="00F041AD" w14:paraId="7C42E9C2" w14:textId="77777777" w:rsidTr="00211102">
        <w:tc>
          <w:tcPr>
            <w:tcW w:w="3660" w:type="dxa"/>
          </w:tcPr>
          <w:p w14:paraId="6F7A94DF" w14:textId="77777777" w:rsidR="00B65A50" w:rsidRPr="00F041AD" w:rsidRDefault="00B65A50" w:rsidP="00211102">
            <w:pPr>
              <w:pStyle w:val="5BodyText"/>
              <w:rPr>
                <w:color w:val="333333" w:themeColor="background1"/>
              </w:rPr>
            </w:pPr>
            <w:r w:rsidRPr="00F041AD">
              <w:rPr>
                <w:color w:val="333333" w:themeColor="background1"/>
              </w:rPr>
              <w:t>Carpool</w:t>
            </w:r>
          </w:p>
        </w:tc>
        <w:tc>
          <w:tcPr>
            <w:tcW w:w="1695" w:type="dxa"/>
          </w:tcPr>
          <w:p w14:paraId="4CAE30C9" w14:textId="77777777" w:rsidR="00B65A50" w:rsidRPr="00F041AD" w:rsidRDefault="00B65A50" w:rsidP="00211102">
            <w:pPr>
              <w:pStyle w:val="5BodyText"/>
              <w:rPr>
                <w:i/>
                <w:color w:val="333333" w:themeColor="background1"/>
              </w:rPr>
            </w:pPr>
            <w:r w:rsidRPr="00F041AD">
              <w:rPr>
                <w:color w:val="333333" w:themeColor="background1"/>
              </w:rPr>
              <w:t>237,894</w:t>
            </w:r>
          </w:p>
        </w:tc>
        <w:tc>
          <w:tcPr>
            <w:tcW w:w="1395" w:type="dxa"/>
          </w:tcPr>
          <w:p w14:paraId="51927FF0" w14:textId="77777777" w:rsidR="00B65A50" w:rsidRPr="00F041AD" w:rsidRDefault="00B65A50" w:rsidP="00211102">
            <w:pPr>
              <w:pStyle w:val="5BodyText"/>
              <w:rPr>
                <w:i/>
                <w:color w:val="333333" w:themeColor="background1"/>
              </w:rPr>
            </w:pPr>
            <w:r w:rsidRPr="00F041AD">
              <w:rPr>
                <w:color w:val="333333" w:themeColor="background1"/>
              </w:rPr>
              <w:t>8.7%</w:t>
            </w:r>
          </w:p>
        </w:tc>
      </w:tr>
      <w:tr w:rsidR="00B65A50" w:rsidRPr="00F041AD" w14:paraId="11BF81C1" w14:textId="77777777" w:rsidTr="00211102">
        <w:tc>
          <w:tcPr>
            <w:tcW w:w="3660" w:type="dxa"/>
          </w:tcPr>
          <w:p w14:paraId="2E0EB3EF" w14:textId="77777777" w:rsidR="00B65A50" w:rsidRPr="00F041AD" w:rsidRDefault="00B65A50" w:rsidP="00211102">
            <w:pPr>
              <w:pStyle w:val="5BodyText"/>
              <w:rPr>
                <w:color w:val="333333" w:themeColor="background1"/>
              </w:rPr>
            </w:pPr>
            <w:r w:rsidRPr="00F041AD">
              <w:rPr>
                <w:color w:val="333333" w:themeColor="background1"/>
              </w:rPr>
              <w:t>Transit</w:t>
            </w:r>
          </w:p>
        </w:tc>
        <w:tc>
          <w:tcPr>
            <w:tcW w:w="1695" w:type="dxa"/>
          </w:tcPr>
          <w:p w14:paraId="0519A66E" w14:textId="77777777" w:rsidR="00B65A50" w:rsidRPr="00F041AD" w:rsidRDefault="00B65A50" w:rsidP="00211102">
            <w:pPr>
              <w:pStyle w:val="5BodyText"/>
              <w:rPr>
                <w:i/>
                <w:color w:val="333333" w:themeColor="background1"/>
              </w:rPr>
            </w:pPr>
            <w:r w:rsidRPr="00F041AD">
              <w:rPr>
                <w:color w:val="333333" w:themeColor="background1"/>
              </w:rPr>
              <w:t>94,172</w:t>
            </w:r>
          </w:p>
        </w:tc>
        <w:tc>
          <w:tcPr>
            <w:tcW w:w="1395" w:type="dxa"/>
          </w:tcPr>
          <w:p w14:paraId="44126BD4" w14:textId="77777777" w:rsidR="00B65A50" w:rsidRPr="00F041AD" w:rsidRDefault="00B65A50" w:rsidP="00211102">
            <w:pPr>
              <w:pStyle w:val="5BodyText"/>
              <w:rPr>
                <w:i/>
                <w:color w:val="333333" w:themeColor="background1"/>
              </w:rPr>
            </w:pPr>
            <w:r w:rsidRPr="00F041AD">
              <w:rPr>
                <w:color w:val="333333" w:themeColor="background1"/>
              </w:rPr>
              <w:t>3.4%</w:t>
            </w:r>
          </w:p>
        </w:tc>
      </w:tr>
      <w:tr w:rsidR="00B65A50" w:rsidRPr="00F041AD" w14:paraId="32DBCA8D" w14:textId="77777777" w:rsidTr="00211102">
        <w:tc>
          <w:tcPr>
            <w:tcW w:w="3660" w:type="dxa"/>
          </w:tcPr>
          <w:p w14:paraId="7AE18581" w14:textId="77777777" w:rsidR="00B65A50" w:rsidRPr="00F041AD" w:rsidRDefault="00B65A50" w:rsidP="00211102">
            <w:pPr>
              <w:pStyle w:val="5BodyText"/>
              <w:rPr>
                <w:color w:val="333333" w:themeColor="background1"/>
              </w:rPr>
            </w:pPr>
            <w:r w:rsidRPr="00F041AD">
              <w:rPr>
                <w:color w:val="333333" w:themeColor="background1"/>
              </w:rPr>
              <w:t>Bicycle</w:t>
            </w:r>
          </w:p>
        </w:tc>
        <w:tc>
          <w:tcPr>
            <w:tcW w:w="1695" w:type="dxa"/>
          </w:tcPr>
          <w:p w14:paraId="38CB8F23" w14:textId="77777777" w:rsidR="00B65A50" w:rsidRPr="00F041AD" w:rsidRDefault="00B65A50" w:rsidP="00211102">
            <w:pPr>
              <w:pStyle w:val="5BodyText"/>
              <w:rPr>
                <w:i/>
                <w:color w:val="333333" w:themeColor="background1"/>
              </w:rPr>
            </w:pPr>
            <w:r w:rsidRPr="00F041AD">
              <w:rPr>
                <w:color w:val="333333" w:themeColor="background1"/>
              </w:rPr>
              <w:t>20,803</w:t>
            </w:r>
          </w:p>
        </w:tc>
        <w:tc>
          <w:tcPr>
            <w:tcW w:w="1395" w:type="dxa"/>
          </w:tcPr>
          <w:p w14:paraId="743F137E" w14:textId="77777777" w:rsidR="00B65A50" w:rsidRPr="00F041AD" w:rsidRDefault="00B65A50" w:rsidP="00211102">
            <w:pPr>
              <w:pStyle w:val="5BodyText"/>
              <w:rPr>
                <w:i/>
                <w:color w:val="333333" w:themeColor="background1"/>
              </w:rPr>
            </w:pPr>
            <w:r w:rsidRPr="00F041AD">
              <w:rPr>
                <w:color w:val="333333" w:themeColor="background1"/>
              </w:rPr>
              <w:t>0.8%</w:t>
            </w:r>
          </w:p>
        </w:tc>
      </w:tr>
      <w:tr w:rsidR="00B65A50" w:rsidRPr="00F041AD" w14:paraId="2B11A38D" w14:textId="77777777" w:rsidTr="00211102">
        <w:tc>
          <w:tcPr>
            <w:tcW w:w="3660" w:type="dxa"/>
          </w:tcPr>
          <w:p w14:paraId="34F64DC7" w14:textId="77777777" w:rsidR="00B65A50" w:rsidRPr="00F041AD" w:rsidRDefault="00B65A50" w:rsidP="00211102">
            <w:pPr>
              <w:pStyle w:val="5BodyText"/>
              <w:rPr>
                <w:color w:val="333333" w:themeColor="background1"/>
              </w:rPr>
            </w:pPr>
            <w:r w:rsidRPr="00F041AD">
              <w:rPr>
                <w:color w:val="333333" w:themeColor="background1"/>
              </w:rPr>
              <w:t>Walked</w:t>
            </w:r>
          </w:p>
        </w:tc>
        <w:tc>
          <w:tcPr>
            <w:tcW w:w="1695" w:type="dxa"/>
          </w:tcPr>
          <w:p w14:paraId="68129ADD" w14:textId="77777777" w:rsidR="00B65A50" w:rsidRPr="00F041AD" w:rsidRDefault="00B65A50" w:rsidP="00211102">
            <w:pPr>
              <w:pStyle w:val="5BodyText"/>
              <w:rPr>
                <w:i/>
                <w:color w:val="333333" w:themeColor="background1"/>
              </w:rPr>
            </w:pPr>
            <w:r w:rsidRPr="00F041AD">
              <w:rPr>
                <w:color w:val="333333" w:themeColor="background1"/>
              </w:rPr>
              <w:t>79,106</w:t>
            </w:r>
          </w:p>
        </w:tc>
        <w:tc>
          <w:tcPr>
            <w:tcW w:w="1395" w:type="dxa"/>
          </w:tcPr>
          <w:p w14:paraId="2CCC0CBE" w14:textId="77777777" w:rsidR="00B65A50" w:rsidRPr="00F041AD" w:rsidRDefault="00B65A50" w:rsidP="00211102">
            <w:pPr>
              <w:pStyle w:val="5BodyText"/>
              <w:rPr>
                <w:i/>
                <w:color w:val="333333" w:themeColor="background1"/>
              </w:rPr>
            </w:pPr>
            <w:r w:rsidRPr="00F041AD">
              <w:rPr>
                <w:color w:val="333333" w:themeColor="background1"/>
              </w:rPr>
              <w:t>2.9%</w:t>
            </w:r>
          </w:p>
        </w:tc>
      </w:tr>
      <w:tr w:rsidR="00B65A50" w:rsidRPr="00F041AD" w14:paraId="005FF37C" w14:textId="77777777" w:rsidTr="00211102">
        <w:tc>
          <w:tcPr>
            <w:tcW w:w="3660" w:type="dxa"/>
          </w:tcPr>
          <w:p w14:paraId="5EBC197C" w14:textId="77777777" w:rsidR="00B65A50" w:rsidRPr="00F041AD" w:rsidRDefault="00B65A50" w:rsidP="00211102">
            <w:pPr>
              <w:pStyle w:val="5BodyText"/>
              <w:rPr>
                <w:color w:val="333333" w:themeColor="background1"/>
              </w:rPr>
            </w:pPr>
            <w:r w:rsidRPr="00F041AD">
              <w:rPr>
                <w:color w:val="333333" w:themeColor="background1"/>
              </w:rPr>
              <w:t>Other means (including taxi)</w:t>
            </w:r>
          </w:p>
        </w:tc>
        <w:tc>
          <w:tcPr>
            <w:tcW w:w="1695" w:type="dxa"/>
          </w:tcPr>
          <w:p w14:paraId="712A8BE7" w14:textId="77777777" w:rsidR="00B65A50" w:rsidRPr="00F041AD" w:rsidRDefault="00B65A50" w:rsidP="00211102">
            <w:pPr>
              <w:pStyle w:val="5BodyText"/>
              <w:rPr>
                <w:i/>
                <w:color w:val="333333" w:themeColor="background1"/>
              </w:rPr>
            </w:pPr>
            <w:r w:rsidRPr="00F041AD">
              <w:rPr>
                <w:color w:val="333333" w:themeColor="background1"/>
              </w:rPr>
              <w:t>22,648</w:t>
            </w:r>
          </w:p>
        </w:tc>
        <w:tc>
          <w:tcPr>
            <w:tcW w:w="1395" w:type="dxa"/>
          </w:tcPr>
          <w:p w14:paraId="0845FF4D" w14:textId="77777777" w:rsidR="00B65A50" w:rsidRPr="00F041AD" w:rsidRDefault="00B65A50" w:rsidP="00211102">
            <w:pPr>
              <w:pStyle w:val="5BodyText"/>
              <w:rPr>
                <w:i/>
                <w:color w:val="333333" w:themeColor="background1"/>
              </w:rPr>
            </w:pPr>
            <w:r w:rsidRPr="00F041AD">
              <w:rPr>
                <w:color w:val="333333" w:themeColor="background1"/>
              </w:rPr>
              <w:t>0.8%</w:t>
            </w:r>
          </w:p>
        </w:tc>
      </w:tr>
      <w:tr w:rsidR="00B65A50" w:rsidRPr="00F041AD" w14:paraId="2789485A" w14:textId="77777777" w:rsidTr="00211102">
        <w:tc>
          <w:tcPr>
            <w:tcW w:w="3660" w:type="dxa"/>
          </w:tcPr>
          <w:p w14:paraId="7C0C8C99" w14:textId="77777777" w:rsidR="00B65A50" w:rsidRPr="00F041AD" w:rsidRDefault="00B65A50" w:rsidP="00211102">
            <w:pPr>
              <w:pStyle w:val="5BodyText"/>
              <w:rPr>
                <w:color w:val="333333" w:themeColor="background1"/>
              </w:rPr>
            </w:pPr>
            <w:r w:rsidRPr="00F041AD">
              <w:rPr>
                <w:color w:val="333333" w:themeColor="background1"/>
              </w:rPr>
              <w:t>Worked at home</w:t>
            </w:r>
          </w:p>
        </w:tc>
        <w:tc>
          <w:tcPr>
            <w:tcW w:w="1695" w:type="dxa"/>
          </w:tcPr>
          <w:p w14:paraId="087ABE67" w14:textId="77777777" w:rsidR="00B65A50" w:rsidRPr="00F041AD" w:rsidRDefault="00B65A50" w:rsidP="00211102">
            <w:pPr>
              <w:pStyle w:val="5BodyText"/>
              <w:rPr>
                <w:color w:val="333333" w:themeColor="background1"/>
              </w:rPr>
            </w:pPr>
            <w:r w:rsidRPr="00F041AD">
              <w:rPr>
                <w:color w:val="333333" w:themeColor="background1"/>
              </w:rPr>
              <w:t>145,028</w:t>
            </w:r>
          </w:p>
        </w:tc>
        <w:tc>
          <w:tcPr>
            <w:tcW w:w="1395" w:type="dxa"/>
          </w:tcPr>
          <w:p w14:paraId="67E717CF" w14:textId="77777777" w:rsidR="00B65A50" w:rsidRPr="00F041AD" w:rsidRDefault="00B65A50" w:rsidP="00211102">
            <w:pPr>
              <w:pStyle w:val="5BodyText"/>
              <w:rPr>
                <w:i/>
                <w:color w:val="333333" w:themeColor="background1"/>
              </w:rPr>
            </w:pPr>
            <w:r w:rsidRPr="00F041AD">
              <w:rPr>
                <w:color w:val="333333" w:themeColor="background1"/>
              </w:rPr>
              <w:t>5.3%</w:t>
            </w:r>
          </w:p>
        </w:tc>
      </w:tr>
      <w:tr w:rsidR="00B65A50" w:rsidRPr="00F041AD" w14:paraId="45F7666A" w14:textId="77777777" w:rsidTr="00211102">
        <w:tc>
          <w:tcPr>
            <w:tcW w:w="3660" w:type="dxa"/>
          </w:tcPr>
          <w:p w14:paraId="58A96A9A" w14:textId="77777777" w:rsidR="00B65A50" w:rsidRPr="00F041AD" w:rsidRDefault="00B65A50" w:rsidP="00211102">
            <w:pPr>
              <w:pStyle w:val="5BodyText"/>
              <w:rPr>
                <w:color w:val="333333" w:themeColor="background1"/>
              </w:rPr>
            </w:pPr>
            <w:r w:rsidRPr="00F041AD">
              <w:rPr>
                <w:color w:val="333333" w:themeColor="background1"/>
              </w:rPr>
              <w:t>Total</w:t>
            </w:r>
          </w:p>
        </w:tc>
        <w:tc>
          <w:tcPr>
            <w:tcW w:w="1695" w:type="dxa"/>
          </w:tcPr>
          <w:p w14:paraId="766B81D7" w14:textId="77777777" w:rsidR="00B65A50" w:rsidRPr="00F041AD" w:rsidRDefault="00B65A50" w:rsidP="00211102">
            <w:pPr>
              <w:pStyle w:val="5BodyText"/>
              <w:rPr>
                <w:i/>
                <w:color w:val="333333" w:themeColor="background1"/>
              </w:rPr>
            </w:pPr>
            <w:r w:rsidRPr="00F041AD">
              <w:rPr>
                <w:color w:val="333333" w:themeColor="background1"/>
              </w:rPr>
              <w:t>2,736,045</w:t>
            </w:r>
          </w:p>
        </w:tc>
        <w:tc>
          <w:tcPr>
            <w:tcW w:w="1395" w:type="dxa"/>
          </w:tcPr>
          <w:p w14:paraId="15610487" w14:textId="77777777" w:rsidR="00B65A50" w:rsidRPr="00F041AD" w:rsidRDefault="00B65A50" w:rsidP="00211102">
            <w:pPr>
              <w:pStyle w:val="5BodyText"/>
              <w:rPr>
                <w:i/>
                <w:color w:val="333333" w:themeColor="background1"/>
              </w:rPr>
            </w:pPr>
            <w:r w:rsidRPr="00F041AD">
              <w:rPr>
                <w:color w:val="333333" w:themeColor="background1"/>
              </w:rPr>
              <w:t>100.0%</w:t>
            </w:r>
          </w:p>
        </w:tc>
      </w:tr>
    </w:tbl>
    <w:p w14:paraId="3F20D344" w14:textId="77777777" w:rsidR="00B65A50" w:rsidRPr="00F041AD" w:rsidRDefault="00B65A50" w:rsidP="00F655E6">
      <w:pPr>
        <w:pStyle w:val="5BodyText"/>
        <w:rPr>
          <w:color w:val="333333" w:themeColor="background1"/>
        </w:rPr>
      </w:pPr>
    </w:p>
    <w:p w14:paraId="69559A9D" w14:textId="77777777" w:rsidR="00B65A50" w:rsidRPr="00F041AD" w:rsidRDefault="00B65A50" w:rsidP="00F655E6">
      <w:pPr>
        <w:pStyle w:val="5BodyText"/>
        <w:rPr>
          <w:color w:val="333333" w:themeColor="background1"/>
        </w:rPr>
      </w:pPr>
      <w:r w:rsidRPr="00F041AD">
        <w:rPr>
          <w:color w:val="333333" w:themeColor="background1"/>
        </w:rPr>
        <w:t>Minnesotans spent over $11 billion in 2014 on transportation fuel, including gasoline and diesel,</w:t>
      </w:r>
      <w:r w:rsidRPr="00F041AD">
        <w:rPr>
          <w:rStyle w:val="EndnoteReference"/>
          <w:color w:val="333333" w:themeColor="background1"/>
        </w:rPr>
        <w:endnoteReference w:id="76"/>
      </w:r>
      <w:r w:rsidRPr="00F041AD">
        <w:rPr>
          <w:color w:val="333333" w:themeColor="background1"/>
        </w:rPr>
        <w:t xml:space="preserve"> which are imported from out of state. Minnesota has increasingly become a leader in biofuel production from local </w:t>
      </w:r>
      <w:r w:rsidRPr="00F041AD">
        <w:rPr>
          <w:color w:val="333333" w:themeColor="background1"/>
        </w:rPr>
        <w:lastRenderedPageBreak/>
        <w:t>resources and related policymaking. The state requires that motor gasoline sold in the state be at least a ten percent blended ethanol mixture; further, the state’s biodiesel mandate requires that diesel fuel sold in the state contain at least ten percent biodiesel from April through September, and at least five percent in the remaining months.</w:t>
      </w:r>
      <w:r w:rsidRPr="00F041AD">
        <w:rPr>
          <w:color w:val="333333" w:themeColor="background1"/>
          <w:vertAlign w:val="superscript"/>
        </w:rPr>
        <w:endnoteReference w:id="77"/>
      </w:r>
      <w:r w:rsidRPr="00F041AD">
        <w:rPr>
          <w:color w:val="333333" w:themeColor="background1"/>
        </w:rPr>
        <w:t xml:space="preserve"> Finally, Minnesota’s Petroleum Replacement Goal aims to have biofuel comprise at least 30 percent of total gasoline sold or offered for sale in the state by 2025.</w:t>
      </w:r>
      <w:r w:rsidRPr="00F041AD">
        <w:rPr>
          <w:color w:val="333333" w:themeColor="background1"/>
          <w:vertAlign w:val="superscript"/>
        </w:rPr>
        <w:endnoteReference w:id="78"/>
      </w:r>
      <w:r w:rsidRPr="00F041AD">
        <w:rPr>
          <w:color w:val="333333" w:themeColor="background1"/>
        </w:rPr>
        <w:t xml:space="preserve"> The Minnesota Department of Agriculture has concluded that the ethanol industry contributes five billion dollars in total economic output and more than 12,600 jobs, and in 2012, Minnesota ranked fifth nationally in ethanol production.</w:t>
      </w:r>
      <w:r w:rsidRPr="00F041AD">
        <w:rPr>
          <w:color w:val="333333" w:themeColor="background1"/>
          <w:vertAlign w:val="superscript"/>
        </w:rPr>
        <w:endnoteReference w:id="79"/>
      </w:r>
    </w:p>
    <w:p w14:paraId="14195ABF" w14:textId="77777777" w:rsidR="00B65A50" w:rsidRPr="00F041AD" w:rsidRDefault="00B65A50" w:rsidP="00F655E6">
      <w:pPr>
        <w:pStyle w:val="5BodyText"/>
        <w:rPr>
          <w:color w:val="333333" w:themeColor="background1"/>
        </w:rPr>
      </w:pPr>
      <w:bookmarkStart w:id="111" w:name="h.2mygy52aufku" w:colFirst="0" w:colLast="0"/>
      <w:bookmarkStart w:id="112" w:name="_Toc318126158"/>
      <w:bookmarkStart w:id="113" w:name="_Toc319794263"/>
      <w:bookmarkEnd w:id="111"/>
    </w:p>
    <w:p w14:paraId="2BBAFF78" w14:textId="77777777" w:rsidR="00B65A50" w:rsidRPr="00F041AD" w:rsidRDefault="00B65A50" w:rsidP="007F3F44">
      <w:pPr>
        <w:pStyle w:val="6BodyHighlight"/>
        <w:rPr>
          <w:color w:val="333333" w:themeColor="background1"/>
        </w:rPr>
      </w:pPr>
      <w:bookmarkStart w:id="114" w:name="_Toc322961622"/>
      <w:r w:rsidRPr="00F041AD">
        <w:rPr>
          <w:color w:val="333333" w:themeColor="background1"/>
        </w:rPr>
        <w:t>Summary of opportunities</w:t>
      </w:r>
      <w:bookmarkEnd w:id="112"/>
      <w:bookmarkEnd w:id="113"/>
      <w:bookmarkEnd w:id="114"/>
    </w:p>
    <w:p w14:paraId="3FE76D45" w14:textId="77777777" w:rsidR="00B65A50" w:rsidRPr="00F041AD" w:rsidRDefault="00B65A50" w:rsidP="00F655E6">
      <w:pPr>
        <w:pStyle w:val="5BodyText"/>
        <w:rPr>
          <w:color w:val="333333" w:themeColor="background1"/>
        </w:rPr>
      </w:pPr>
      <w:r w:rsidRPr="00F041AD">
        <w:rPr>
          <w:color w:val="333333" w:themeColor="background1"/>
        </w:rPr>
        <w:t>The stakeholder advisory committee has identified the following opportunities to expand and accelerate clean energy and reduce the economic cost of transportation in Minnesota. These opportunities fall into two major categories: electric vehicles (EVs) and alternative fuel vehicles (AFVs).</w:t>
      </w:r>
    </w:p>
    <w:p w14:paraId="2C57BF44" w14:textId="77777777" w:rsidR="00B65A50" w:rsidRPr="00F041AD" w:rsidRDefault="00B65A50" w:rsidP="00F655E6">
      <w:pPr>
        <w:pStyle w:val="5BodyText"/>
        <w:rPr>
          <w:color w:val="333333" w:themeColor="background1"/>
        </w:rPr>
      </w:pPr>
    </w:p>
    <w:p w14:paraId="3D516D51" w14:textId="77777777" w:rsidR="00B65A50" w:rsidRPr="00F041AD" w:rsidRDefault="00B65A50" w:rsidP="00F655E6">
      <w:pPr>
        <w:pStyle w:val="5BodyText"/>
        <w:rPr>
          <w:b/>
          <w:color w:val="333333" w:themeColor="background1"/>
        </w:rPr>
      </w:pPr>
      <w:r w:rsidRPr="00F041AD">
        <w:rPr>
          <w:b/>
          <w:color w:val="333333" w:themeColor="background1"/>
        </w:rPr>
        <w:t>Electric vehicles</w:t>
      </w:r>
    </w:p>
    <w:p w14:paraId="77DB9F8E" w14:textId="77777777" w:rsidR="00B65A50" w:rsidRPr="00F041AD" w:rsidRDefault="00B65A50" w:rsidP="00F655E6">
      <w:pPr>
        <w:pStyle w:val="5BodyText"/>
        <w:rPr>
          <w:color w:val="333333" w:themeColor="background1"/>
        </w:rPr>
      </w:pPr>
      <w:r w:rsidRPr="00F041AD">
        <w:rPr>
          <w:color w:val="333333" w:themeColor="background1"/>
        </w:rPr>
        <w:t>Electric vehicles – which are propelled by electric motors alone or in combination with small combustion engines – are quickly becoming a viable choice for consumers due to rapid advances in technology and cost declines. Electric vehicles hold several advantages over conventional internal combustion engine (ICE) vehicles, including lower operating and maintenance costs. These two factors led the Edison Electric Institute to conclude that although the upfront cost of an EV is often higher than a conventional car, the lifetime cost can be far lower.</w:t>
      </w:r>
      <w:r w:rsidRPr="00F041AD">
        <w:rPr>
          <w:rStyle w:val="EndnoteReference"/>
          <w:color w:val="333333" w:themeColor="background1"/>
        </w:rPr>
        <w:endnoteReference w:id="80"/>
      </w:r>
      <w:r w:rsidRPr="00F041AD">
        <w:rPr>
          <w:color w:val="333333" w:themeColor="background1"/>
        </w:rPr>
        <w:t xml:space="preserve"> In addition, EVs have no tailpipe emissions; EVs that are charged with electricity from zero-emission generators cause no air pollution. </w:t>
      </w:r>
    </w:p>
    <w:p w14:paraId="3F84F057" w14:textId="77777777" w:rsidR="00B65A50" w:rsidRPr="00F041AD" w:rsidRDefault="00B65A50" w:rsidP="00F655E6">
      <w:pPr>
        <w:pStyle w:val="5BodyText"/>
        <w:rPr>
          <w:color w:val="333333" w:themeColor="background1"/>
        </w:rPr>
      </w:pPr>
    </w:p>
    <w:p w14:paraId="6A0506DB" w14:textId="77777777" w:rsidR="00B65A50" w:rsidRPr="00F041AD" w:rsidRDefault="00B65A50" w:rsidP="00F655E6">
      <w:pPr>
        <w:pStyle w:val="5BodyText"/>
        <w:rPr>
          <w:color w:val="333333" w:themeColor="background1"/>
        </w:rPr>
      </w:pPr>
      <w:r w:rsidRPr="00F041AD">
        <w:rPr>
          <w:color w:val="333333" w:themeColor="background1"/>
        </w:rPr>
        <w:t xml:space="preserve">Electric vehicles that are charged using fossil fuel-based electricity still cause emissions. However, several factors indicate that the emissions caused by EVs in Minnesota are likely less than those of ICE vehicles. First, over half of Minnesota EV drivers in a recent survey reported that they took service under a renewable energy-sourced electricity rate, such as Xcel’s </w:t>
      </w:r>
      <w:proofErr w:type="spellStart"/>
      <w:r w:rsidRPr="00F041AD">
        <w:rPr>
          <w:color w:val="333333" w:themeColor="background1"/>
        </w:rPr>
        <w:t>Windsource</w:t>
      </w:r>
      <w:proofErr w:type="spellEnd"/>
      <w:r w:rsidRPr="00F041AD">
        <w:rPr>
          <w:color w:val="333333" w:themeColor="background1"/>
        </w:rPr>
        <w:t>, offsetting their short-run emissions,</w:t>
      </w:r>
      <w:r w:rsidRPr="00F041AD">
        <w:rPr>
          <w:rStyle w:val="EndnoteReference"/>
          <w:color w:val="333333" w:themeColor="background1"/>
        </w:rPr>
        <w:endnoteReference w:id="81"/>
      </w:r>
      <w:r w:rsidRPr="00F041AD">
        <w:rPr>
          <w:color w:val="333333" w:themeColor="background1"/>
        </w:rPr>
        <w:t xml:space="preserve"> and Great River Energy offers renewable electricity for EVs at no added cost when EV owners sign up for an off-peak EV rate. Second, the grid as whole is getting cleaner, with an announced proposal to retire a major coal-fired power plant in Minnesota</w:t>
      </w:r>
      <w:r w:rsidRPr="00F041AD">
        <w:rPr>
          <w:rStyle w:val="EndnoteReference"/>
          <w:color w:val="333333" w:themeColor="background1"/>
        </w:rPr>
        <w:endnoteReference w:id="82"/>
      </w:r>
      <w:r w:rsidRPr="00F041AD">
        <w:rPr>
          <w:color w:val="333333" w:themeColor="background1"/>
        </w:rPr>
        <w:t xml:space="preserve"> and continued growth in renewables, meaning that the emissions intensity of EVs purchased today is likely to continue declining.</w:t>
      </w:r>
    </w:p>
    <w:p w14:paraId="5DE4E3D0" w14:textId="77777777" w:rsidR="00B65A50" w:rsidRPr="00F041AD" w:rsidRDefault="00B65A50" w:rsidP="00F655E6">
      <w:pPr>
        <w:pStyle w:val="5BodyText"/>
        <w:rPr>
          <w:color w:val="333333" w:themeColor="background1"/>
        </w:rPr>
      </w:pPr>
    </w:p>
    <w:p w14:paraId="6855E036" w14:textId="77777777" w:rsidR="00171E58" w:rsidRPr="00F041AD" w:rsidRDefault="00B65A50" w:rsidP="00F655E6">
      <w:pPr>
        <w:pStyle w:val="7Caption"/>
        <w:rPr>
          <w:color w:val="333333" w:themeColor="background1"/>
        </w:rPr>
      </w:pPr>
      <w:r w:rsidRPr="00F041AD">
        <w:rPr>
          <w:color w:val="333333" w:themeColor="background1"/>
        </w:rPr>
        <w:fldChar w:fldCharType="begin"/>
      </w:r>
      <w:r w:rsidRPr="00F041AD">
        <w:rPr>
          <w:color w:val="333333" w:themeColor="background1"/>
        </w:rPr>
        <w:instrText xml:space="preserve"> REF _Ref322856304 \h </w:instrText>
      </w:r>
      <w:r w:rsidRPr="00F041AD">
        <w:rPr>
          <w:color w:val="333333" w:themeColor="background1"/>
        </w:rPr>
      </w:r>
      <w:r w:rsidRPr="00F041AD">
        <w:rPr>
          <w:color w:val="333333" w:themeColor="background1"/>
        </w:rPr>
        <w:fldChar w:fldCharType="separate"/>
      </w:r>
    </w:p>
    <w:p w14:paraId="55E12C20" w14:textId="7DA79EA5" w:rsidR="00B65A50" w:rsidRPr="00F041AD" w:rsidRDefault="00171E58" w:rsidP="00F655E6">
      <w:pPr>
        <w:pStyle w:val="5BodyText"/>
        <w:rPr>
          <w:color w:val="333333" w:themeColor="background1"/>
        </w:rPr>
      </w:pPr>
      <w:r w:rsidRPr="00F041AD">
        <w:rPr>
          <w:color w:val="333333" w:themeColor="background1"/>
        </w:rPr>
        <w:t xml:space="preserve">Figure </w:t>
      </w:r>
      <w:r>
        <w:rPr>
          <w:noProof/>
          <w:color w:val="333333" w:themeColor="background1"/>
        </w:rPr>
        <w:t>12</w:t>
      </w:r>
      <w:r w:rsidR="00B65A50" w:rsidRPr="00F041AD">
        <w:rPr>
          <w:color w:val="333333" w:themeColor="background1"/>
        </w:rPr>
        <w:fldChar w:fldCharType="end"/>
      </w:r>
      <w:r w:rsidR="00B65A50" w:rsidRPr="00F041AD">
        <w:rPr>
          <w:color w:val="333333" w:themeColor="background1"/>
        </w:rPr>
        <w:t xml:space="preserve"> illustrates the emissions impact on a per-mile basis of an ICE vehicle versus an EV. Electric vehicles emit less CO</w:t>
      </w:r>
      <w:r w:rsidR="00B65A50" w:rsidRPr="00F041AD">
        <w:rPr>
          <w:color w:val="333333" w:themeColor="background1"/>
          <w:vertAlign w:val="subscript"/>
        </w:rPr>
        <w:t>2</w:t>
      </w:r>
      <w:r w:rsidR="00B65A50" w:rsidRPr="00F041AD">
        <w:rPr>
          <w:color w:val="333333" w:themeColor="background1"/>
        </w:rPr>
        <w:t xml:space="preserve"> per mile than traditional vehicles, even when accounting for the additional CO</w:t>
      </w:r>
      <w:r w:rsidR="00B65A50" w:rsidRPr="00F041AD">
        <w:rPr>
          <w:color w:val="333333" w:themeColor="background1"/>
          <w:vertAlign w:val="subscript"/>
        </w:rPr>
        <w:t>2</w:t>
      </w:r>
      <w:r w:rsidR="00B65A50" w:rsidRPr="00F041AD">
        <w:rPr>
          <w:color w:val="333333" w:themeColor="background1"/>
        </w:rPr>
        <w:t xml:space="preserve"> emissions inherent in manufacturing EVs,</w:t>
      </w:r>
      <w:r w:rsidR="00B65A50" w:rsidRPr="00F041AD">
        <w:rPr>
          <w:rStyle w:val="EndnoteReference"/>
          <w:color w:val="333333" w:themeColor="background1"/>
        </w:rPr>
        <w:endnoteReference w:id="83"/>
      </w:r>
      <w:r w:rsidR="00B65A50" w:rsidRPr="00F041AD">
        <w:rPr>
          <w:color w:val="333333" w:themeColor="background1"/>
        </w:rPr>
        <w:t xml:space="preserve"> which would reduce the savings shown in the chart below by only two to five percent.</w:t>
      </w:r>
    </w:p>
    <w:p w14:paraId="3A669B19" w14:textId="77777777" w:rsidR="00B65A50" w:rsidRPr="00F041AD" w:rsidRDefault="00B65A50" w:rsidP="00F655E6">
      <w:pPr>
        <w:pStyle w:val="5BodyText"/>
        <w:rPr>
          <w:color w:val="333333" w:themeColor="background1"/>
        </w:rPr>
      </w:pPr>
    </w:p>
    <w:p w14:paraId="0D58CEE6" w14:textId="77777777" w:rsidR="00B65A50" w:rsidRPr="00F041AD" w:rsidRDefault="00B65A50" w:rsidP="00F655E6">
      <w:pPr>
        <w:pStyle w:val="7Caption"/>
        <w:rPr>
          <w:color w:val="333333" w:themeColor="background1"/>
        </w:rPr>
      </w:pPr>
      <w:bookmarkStart w:id="115" w:name="_Ref322856304"/>
    </w:p>
    <w:p w14:paraId="2306059A" w14:textId="1173A10D" w:rsidR="00B65A50" w:rsidRPr="00F041AD" w:rsidRDefault="00B65A50" w:rsidP="00F655E6">
      <w:pPr>
        <w:pStyle w:val="7Caption"/>
        <w:rPr>
          <w:color w:val="333333" w:themeColor="background1"/>
        </w:rPr>
      </w:pPr>
      <w:bookmarkStart w:id="116" w:name="_Toc322958521"/>
      <w:r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12</w:t>
      </w:r>
      <w:r w:rsidR="0010025D" w:rsidRPr="00F041AD">
        <w:rPr>
          <w:noProof/>
          <w:color w:val="333333" w:themeColor="background1"/>
        </w:rPr>
        <w:fldChar w:fldCharType="end"/>
      </w:r>
      <w:bookmarkEnd w:id="115"/>
      <w:r w:rsidR="005C4F4F" w:rsidRPr="00F041AD">
        <w:rPr>
          <w:noProof/>
          <w:color w:val="333333" w:themeColor="background1"/>
        </w:rPr>
        <w:t>:</w:t>
      </w:r>
      <w:r w:rsidRPr="00F041AD">
        <w:rPr>
          <w:color w:val="333333" w:themeColor="background1"/>
        </w:rPr>
        <w:t xml:space="preserve"> Net emissions from gasoline-fueled versus electric vehicles with different fuel mix scenarios.</w:t>
      </w:r>
      <w:bookmarkEnd w:id="116"/>
      <w:r w:rsidRPr="00F041AD">
        <w:rPr>
          <w:color w:val="333333" w:themeColor="background1"/>
        </w:rPr>
        <w:t xml:space="preserve"> </w:t>
      </w:r>
    </w:p>
    <w:p w14:paraId="3911B9B1" w14:textId="77777777" w:rsidR="00B65A50" w:rsidRPr="00F041AD" w:rsidRDefault="00B65A50" w:rsidP="00F655E6">
      <w:pPr>
        <w:pStyle w:val="5BodyText"/>
        <w:rPr>
          <w:color w:val="333333" w:themeColor="background1"/>
        </w:rPr>
      </w:pPr>
      <w:r w:rsidRPr="00F041AD">
        <w:rPr>
          <w:color w:val="333333" w:themeColor="background1"/>
        </w:rPr>
        <w:t xml:space="preserve"> </w:t>
      </w:r>
      <w:r w:rsidRPr="00F041AD">
        <w:rPr>
          <w:noProof/>
          <w:color w:val="333333" w:themeColor="background1"/>
          <w:lang w:eastAsia="en-US"/>
        </w:rPr>
        <w:drawing>
          <wp:inline distT="0" distB="0" distL="0" distR="0" wp14:anchorId="474622A1" wp14:editId="68AB5FB7">
            <wp:extent cx="6378485" cy="2432473"/>
            <wp:effectExtent l="0" t="0" r="0"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80257" cy="2433149"/>
                    </a:xfrm>
                    <a:prstGeom prst="rect">
                      <a:avLst/>
                    </a:prstGeom>
                    <a:noFill/>
                    <a:ln>
                      <a:noFill/>
                    </a:ln>
                  </pic:spPr>
                </pic:pic>
              </a:graphicData>
            </a:graphic>
          </wp:inline>
        </w:drawing>
      </w:r>
    </w:p>
    <w:p w14:paraId="780D7F7C" w14:textId="77777777" w:rsidR="00B65A50" w:rsidRPr="00F041AD" w:rsidRDefault="00B65A50" w:rsidP="00F655E6">
      <w:pPr>
        <w:pStyle w:val="5BodyText"/>
        <w:rPr>
          <w:color w:val="333333" w:themeColor="background1"/>
          <w:sz w:val="18"/>
        </w:rPr>
      </w:pPr>
      <w:r w:rsidRPr="00F041AD">
        <w:rPr>
          <w:color w:val="333333" w:themeColor="background1"/>
          <w:sz w:val="18"/>
        </w:rPr>
        <w:t>Source: GREET 2015 Lifecycle GHG Model default results, Argonne National Laboratory. Figure authored by GPI, March 2016</w:t>
      </w:r>
    </w:p>
    <w:p w14:paraId="38E09D20" w14:textId="77777777" w:rsidR="00B65A50" w:rsidRPr="00F041AD" w:rsidRDefault="00B65A50" w:rsidP="00F655E6">
      <w:pPr>
        <w:pStyle w:val="5BodyText"/>
        <w:rPr>
          <w:color w:val="333333" w:themeColor="background1"/>
        </w:rPr>
      </w:pPr>
    </w:p>
    <w:p w14:paraId="1BF8AFD1" w14:textId="77777777" w:rsidR="00B65A50" w:rsidRPr="00F041AD" w:rsidRDefault="00B65A50" w:rsidP="00F655E6">
      <w:pPr>
        <w:pStyle w:val="5BodyText"/>
        <w:rPr>
          <w:color w:val="333333" w:themeColor="background1"/>
        </w:rPr>
      </w:pPr>
      <w:r w:rsidRPr="00F041AD">
        <w:rPr>
          <w:color w:val="333333" w:themeColor="background1"/>
        </w:rPr>
        <w:t>However, EVs do present some challenges. Most electric vehicles have limited range compared to ICEs; “range anxiety” is a common concern among those considering an EV purchase, charging infrastructure is not yet ubiquitous, and charging times can be much longer than refueling a liquid-fueled vehicle. While refueling is a common concern among those considering an EV purchase, EV owners can mitigate “range anxiety” with trip planning tools.</w:t>
      </w:r>
      <w:r w:rsidRPr="00F041AD">
        <w:rPr>
          <w:rFonts w:asciiTheme="minorHAnsi" w:hAnsiTheme="minorHAnsi"/>
          <w:color w:val="333333" w:themeColor="background1"/>
        </w:rPr>
        <w:t xml:space="preserve"> </w:t>
      </w:r>
      <w:r w:rsidRPr="00F041AD">
        <w:rPr>
          <w:color w:val="333333" w:themeColor="background1"/>
        </w:rPr>
        <w:t>Fortunately, battery technology is rapidly evolving, costs are declining up to 14 percent per year, and charging technology is improving.</w:t>
      </w:r>
      <w:r w:rsidRPr="00F041AD">
        <w:rPr>
          <w:rStyle w:val="EndnoteReference"/>
          <w:color w:val="333333" w:themeColor="background1"/>
        </w:rPr>
        <w:endnoteReference w:id="84"/>
      </w:r>
      <w:r w:rsidRPr="00F041AD">
        <w:rPr>
          <w:color w:val="333333" w:themeColor="background1"/>
        </w:rPr>
        <w:t xml:space="preserve"> At least three car models are announced for 2017-18 that will have more than 200 miles range and cost under $40,000. These advances combined with changes to the grid indicate that, over the next decade, the future of electric vehicles looks bright. </w:t>
      </w:r>
    </w:p>
    <w:p w14:paraId="2E7D9A93" w14:textId="77777777" w:rsidR="00B65A50" w:rsidRPr="00F041AD" w:rsidRDefault="00B65A50" w:rsidP="00F655E6">
      <w:pPr>
        <w:pStyle w:val="5BodyText"/>
        <w:rPr>
          <w:color w:val="333333" w:themeColor="background1"/>
        </w:rPr>
      </w:pPr>
    </w:p>
    <w:p w14:paraId="239FD557" w14:textId="77777777" w:rsidR="00B65A50" w:rsidRPr="00F041AD" w:rsidRDefault="00B65A50" w:rsidP="00F655E6">
      <w:pPr>
        <w:pStyle w:val="5BodyText"/>
        <w:rPr>
          <w:color w:val="333333" w:themeColor="background1"/>
        </w:rPr>
      </w:pPr>
      <w:r w:rsidRPr="00F041AD">
        <w:rPr>
          <w:color w:val="333333" w:themeColor="background1"/>
        </w:rPr>
        <w:t>This section identifies opportunities to accelerate adoption of personally-owned EVs, EVs for fleets, and electric buses.</w:t>
      </w:r>
    </w:p>
    <w:p w14:paraId="45C83F93" w14:textId="77777777" w:rsidR="00B65A50" w:rsidRPr="00F041AD" w:rsidRDefault="00B65A50" w:rsidP="00F655E6">
      <w:pPr>
        <w:pStyle w:val="5BodyText"/>
        <w:rPr>
          <w:color w:val="333333" w:themeColor="background1"/>
        </w:rPr>
      </w:pPr>
    </w:p>
    <w:p w14:paraId="5F82081F" w14:textId="77777777" w:rsidR="00795CAC" w:rsidRPr="00F041AD" w:rsidRDefault="00795CAC" w:rsidP="00F655E6">
      <w:pPr>
        <w:pStyle w:val="5BodyText"/>
        <w:rPr>
          <w:color w:val="333333" w:themeColor="background1"/>
        </w:rPr>
      </w:pPr>
    </w:p>
    <w:p w14:paraId="1A7E7A23" w14:textId="77777777" w:rsidR="00795CAC" w:rsidRPr="00F041AD" w:rsidRDefault="00795CAC" w:rsidP="00F655E6">
      <w:pPr>
        <w:pStyle w:val="5BodyText"/>
        <w:rPr>
          <w:color w:val="333333" w:themeColor="background1"/>
        </w:rPr>
      </w:pPr>
    </w:p>
    <w:p w14:paraId="01204146" w14:textId="77777777" w:rsidR="00795CAC" w:rsidRPr="00F041AD" w:rsidRDefault="00795CAC" w:rsidP="00F655E6">
      <w:pPr>
        <w:pStyle w:val="5BodyText"/>
        <w:rPr>
          <w:color w:val="333333" w:themeColor="background1"/>
        </w:rPr>
      </w:pPr>
    </w:p>
    <w:p w14:paraId="2E3BC37E" w14:textId="77777777" w:rsidR="00B65A50" w:rsidRPr="00F041AD" w:rsidRDefault="00B65A50" w:rsidP="00F655E6">
      <w:pPr>
        <w:pStyle w:val="5BodyText"/>
        <w:rPr>
          <w:b/>
          <w:color w:val="333333" w:themeColor="background1"/>
        </w:rPr>
      </w:pPr>
      <w:r w:rsidRPr="00F041AD">
        <w:rPr>
          <w:b/>
          <w:color w:val="333333" w:themeColor="background1"/>
        </w:rPr>
        <w:t>Alternative fuel vehicles</w:t>
      </w:r>
    </w:p>
    <w:p w14:paraId="45C7917D" w14:textId="77777777" w:rsidR="00B65A50" w:rsidRPr="00F041AD" w:rsidRDefault="00B65A50" w:rsidP="00F655E6">
      <w:pPr>
        <w:pStyle w:val="5BodyText"/>
        <w:rPr>
          <w:color w:val="333333" w:themeColor="background1"/>
        </w:rPr>
      </w:pPr>
      <w:r w:rsidRPr="00F041AD">
        <w:rPr>
          <w:color w:val="333333" w:themeColor="background1"/>
        </w:rPr>
        <w:t>Alternative fuel vehicles (AFVs) are vehicles that run on energy sources other than petroleum, including biodiesel, electric and hybrid-electric, ethanol, hydrogen, and natural gas. This report discusses opportunities to increase the use of AFVs in heavy-duty vehicles.</w:t>
      </w:r>
    </w:p>
    <w:p w14:paraId="142544A6" w14:textId="77777777" w:rsidR="00B65A50" w:rsidRPr="00F041AD" w:rsidRDefault="00B65A50" w:rsidP="00F655E6">
      <w:pPr>
        <w:pStyle w:val="5BodyText"/>
        <w:rPr>
          <w:color w:val="333333" w:themeColor="background1"/>
        </w:rPr>
      </w:pPr>
    </w:p>
    <w:p w14:paraId="45490435" w14:textId="4D74C284" w:rsidR="00B65A50" w:rsidRPr="00F041AD" w:rsidRDefault="00B65A50" w:rsidP="00F655E6">
      <w:pPr>
        <w:pStyle w:val="5BodyText"/>
        <w:rPr>
          <w:color w:val="333333" w:themeColor="background1"/>
        </w:rPr>
      </w:pPr>
      <w:r w:rsidRPr="00F041AD">
        <w:rPr>
          <w:color w:val="333333" w:themeColor="background1"/>
        </w:rPr>
        <w:lastRenderedPageBreak/>
        <w:t>Alternative fuel vehicles have several advantages over conventional vehicles. First, fueling with these resources can bolster the state economy, as these sources can be produced locally. Second, their carbon emissions are often less than conventional gasoline- or diesel-fueled vehicles, especially if they are fueled by renewable fuels like bio-based compressed natural gas (CNG) or biodiesel. The chart below shows the carbon benefits associated with some common options for alternative fuels.</w:t>
      </w:r>
    </w:p>
    <w:p w14:paraId="1D33368E" w14:textId="77777777" w:rsidR="00B65A50" w:rsidRPr="00F041AD" w:rsidRDefault="00B65A50" w:rsidP="00F655E6">
      <w:pPr>
        <w:pStyle w:val="5BodyText"/>
        <w:rPr>
          <w:color w:val="333333" w:themeColor="background1"/>
        </w:rPr>
      </w:pPr>
    </w:p>
    <w:p w14:paraId="50C09C22" w14:textId="1BF61A0F" w:rsidR="00B65A50" w:rsidRPr="00F041AD" w:rsidRDefault="00B65A50" w:rsidP="00F655E6">
      <w:pPr>
        <w:pStyle w:val="7Caption"/>
        <w:rPr>
          <w:color w:val="333333" w:themeColor="background1"/>
        </w:rPr>
      </w:pPr>
      <w:bookmarkStart w:id="117" w:name="_Toc322958522"/>
      <w:r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13</w:t>
      </w:r>
      <w:r w:rsidR="0010025D" w:rsidRPr="00F041AD">
        <w:rPr>
          <w:noProof/>
          <w:color w:val="333333" w:themeColor="background1"/>
        </w:rPr>
        <w:fldChar w:fldCharType="end"/>
      </w:r>
      <w:r w:rsidR="005C4F4F" w:rsidRPr="00F041AD">
        <w:rPr>
          <w:noProof/>
          <w:color w:val="333333" w:themeColor="background1"/>
        </w:rPr>
        <w:t>:</w:t>
      </w:r>
      <w:r w:rsidRPr="00F041AD">
        <w:rPr>
          <w:color w:val="333333" w:themeColor="background1"/>
        </w:rPr>
        <w:t xml:space="preserve"> Net emissions from different transportation fuels.</w:t>
      </w:r>
      <w:bookmarkEnd w:id="117"/>
      <w:r w:rsidRPr="00F041AD">
        <w:rPr>
          <w:color w:val="333333" w:themeColor="background1"/>
        </w:rPr>
        <w:t xml:space="preserve"> </w:t>
      </w:r>
    </w:p>
    <w:p w14:paraId="0832A730" w14:textId="77777777" w:rsidR="00B65A50" w:rsidRPr="00F041AD" w:rsidRDefault="00B65A50" w:rsidP="00F655E6">
      <w:pPr>
        <w:pStyle w:val="5BodyText"/>
        <w:rPr>
          <w:color w:val="333333" w:themeColor="background1"/>
        </w:rPr>
      </w:pPr>
      <w:r w:rsidRPr="00F041AD">
        <w:rPr>
          <w:noProof/>
          <w:color w:val="333333" w:themeColor="background1"/>
          <w:lang w:eastAsia="en-US"/>
        </w:rPr>
        <w:drawing>
          <wp:inline distT="0" distB="0" distL="0" distR="0" wp14:anchorId="1183D888" wp14:editId="0A16A636">
            <wp:extent cx="6337935" cy="3423469"/>
            <wp:effectExtent l="0" t="0" r="12065" b="5715"/>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40015" cy="3424592"/>
                    </a:xfrm>
                    <a:prstGeom prst="rect">
                      <a:avLst/>
                    </a:prstGeom>
                    <a:noFill/>
                    <a:ln>
                      <a:noFill/>
                    </a:ln>
                  </pic:spPr>
                </pic:pic>
              </a:graphicData>
            </a:graphic>
          </wp:inline>
        </w:drawing>
      </w:r>
    </w:p>
    <w:p w14:paraId="1A447FF5" w14:textId="77777777" w:rsidR="00B65A50" w:rsidRPr="00F041AD" w:rsidRDefault="00B65A50" w:rsidP="00F655E6">
      <w:pPr>
        <w:pStyle w:val="5BodyText"/>
        <w:rPr>
          <w:color w:val="333333" w:themeColor="background1"/>
          <w:sz w:val="18"/>
        </w:rPr>
      </w:pPr>
      <w:r w:rsidRPr="00F041AD">
        <w:rPr>
          <w:color w:val="333333" w:themeColor="background1"/>
          <w:sz w:val="18"/>
        </w:rPr>
        <w:t>Source: GREET 2015 Lifecycle GHG Model default results, Argonne National Laboratory. Figure authored by GPI, Feb 2016.</w:t>
      </w:r>
    </w:p>
    <w:p w14:paraId="50ED913A" w14:textId="77777777" w:rsidR="00B65A50" w:rsidRPr="00F041AD" w:rsidRDefault="00B65A50" w:rsidP="00F655E6">
      <w:pPr>
        <w:pStyle w:val="5BodyText"/>
        <w:rPr>
          <w:color w:val="333333" w:themeColor="background1"/>
        </w:rPr>
      </w:pPr>
    </w:p>
    <w:p w14:paraId="44E932E4" w14:textId="77777777" w:rsidR="00B65A50" w:rsidRPr="00F041AD" w:rsidRDefault="00B65A50" w:rsidP="00F655E6">
      <w:pPr>
        <w:pStyle w:val="5BodyText"/>
        <w:rPr>
          <w:color w:val="333333" w:themeColor="background1"/>
        </w:rPr>
      </w:pPr>
      <w:r w:rsidRPr="00F041AD">
        <w:rPr>
          <w:color w:val="333333" w:themeColor="background1"/>
        </w:rPr>
        <w:t>The stakeholder advisory committee focused on actions to increase AFV adoption specifically for heavy-duty vehicles fueled by biofuels and natural gas, including renewable natural gas.</w:t>
      </w:r>
    </w:p>
    <w:p w14:paraId="41521FFB" w14:textId="77777777" w:rsidR="00B65A50" w:rsidRPr="00F041AD" w:rsidRDefault="00B65A50" w:rsidP="00F655E6">
      <w:pPr>
        <w:pStyle w:val="5BodyText"/>
        <w:rPr>
          <w:color w:val="333333" w:themeColor="background1"/>
        </w:rPr>
      </w:pPr>
      <w:bookmarkStart w:id="118" w:name="_Toc319794264"/>
    </w:p>
    <w:p w14:paraId="067B5D92" w14:textId="77777777" w:rsidR="00B65A50" w:rsidRPr="00F041AD" w:rsidRDefault="00B65A50" w:rsidP="00F655E6">
      <w:pPr>
        <w:pStyle w:val="5BodyText"/>
        <w:rPr>
          <w:color w:val="333333" w:themeColor="background1"/>
        </w:rPr>
      </w:pPr>
    </w:p>
    <w:p w14:paraId="45C15533" w14:textId="2779E331" w:rsidR="00B65A50" w:rsidRPr="00F041AD" w:rsidRDefault="00B65A50" w:rsidP="004C45CB">
      <w:pPr>
        <w:pStyle w:val="StrategyName"/>
      </w:pPr>
      <w:bookmarkStart w:id="119" w:name="_Toc322961623"/>
      <w:bookmarkStart w:id="120" w:name="_Toc322962032"/>
      <w:bookmarkStart w:id="121" w:name="_Toc322962219"/>
      <w:r w:rsidRPr="00F041AD">
        <w:t>A</w:t>
      </w:r>
      <w:r w:rsidR="00725676">
        <w:t>1</w:t>
      </w:r>
      <w:r w:rsidRPr="00F041AD">
        <w:t xml:space="preserve">. Increase adoption of </w:t>
      </w:r>
      <w:r w:rsidR="000030AF" w:rsidRPr="00F041AD">
        <w:t>personal</w:t>
      </w:r>
      <w:r w:rsidRPr="00F041AD">
        <w:t xml:space="preserve"> electric vehicles</w:t>
      </w:r>
      <w:bookmarkEnd w:id="118"/>
      <w:bookmarkEnd w:id="119"/>
      <w:bookmarkEnd w:id="120"/>
      <w:bookmarkEnd w:id="121"/>
    </w:p>
    <w:p w14:paraId="24EE50FB" w14:textId="77777777" w:rsidR="00B65A50" w:rsidRPr="00F041AD" w:rsidRDefault="00B65A50" w:rsidP="00F655E6">
      <w:pPr>
        <w:pStyle w:val="5BodyText"/>
        <w:rPr>
          <w:color w:val="333333" w:themeColor="background1"/>
        </w:rPr>
      </w:pPr>
    </w:p>
    <w:p w14:paraId="65A583A6" w14:textId="77777777" w:rsidR="00B65A50" w:rsidRPr="00F041AD" w:rsidRDefault="00B65A50" w:rsidP="00F655E6">
      <w:pPr>
        <w:pStyle w:val="5BodyText"/>
        <w:rPr>
          <w:b/>
          <w:i/>
          <w:color w:val="333333" w:themeColor="background1"/>
        </w:rPr>
      </w:pPr>
      <w:r w:rsidRPr="00F041AD">
        <w:rPr>
          <w:b/>
          <w:i/>
          <w:color w:val="333333" w:themeColor="background1"/>
        </w:rPr>
        <w:t>Strategy overview</w:t>
      </w:r>
    </w:p>
    <w:p w14:paraId="19B868AD" w14:textId="77777777" w:rsidR="00B65A50" w:rsidRPr="00F041AD" w:rsidRDefault="00B65A50" w:rsidP="00F655E6">
      <w:pPr>
        <w:pStyle w:val="5BodyText"/>
        <w:rPr>
          <w:color w:val="333333" w:themeColor="background1"/>
        </w:rPr>
      </w:pPr>
      <w:r w:rsidRPr="00F041AD">
        <w:rPr>
          <w:color w:val="333333" w:themeColor="background1"/>
        </w:rPr>
        <w:t>Single-occupant vehicles currently account for the vast majority of vehicle miles traveled in Minnesota, and are likely to continue to do so in the 2025 timeframe. As a result, widespread adoption of personally owned EVs has the potential to drive significant emissions savings, especially outside of metropolitan areas, where personally-owned vehicles are an important means of serving the needs of a dispersed population.</w:t>
      </w:r>
    </w:p>
    <w:p w14:paraId="52946181" w14:textId="77777777" w:rsidR="00B65A50" w:rsidRPr="00F041AD" w:rsidRDefault="00B65A50" w:rsidP="00F655E6">
      <w:pPr>
        <w:pStyle w:val="5BodyText"/>
        <w:rPr>
          <w:color w:val="333333" w:themeColor="background1"/>
        </w:rPr>
      </w:pPr>
    </w:p>
    <w:p w14:paraId="216D7598" w14:textId="77777777" w:rsidR="00B65A50" w:rsidRPr="00F041AD" w:rsidRDefault="00B65A50" w:rsidP="00F655E6">
      <w:pPr>
        <w:pStyle w:val="5BodyText"/>
        <w:rPr>
          <w:color w:val="333333" w:themeColor="background1"/>
        </w:rPr>
      </w:pPr>
      <w:r w:rsidRPr="00F041AD">
        <w:rPr>
          <w:color w:val="333333" w:themeColor="background1"/>
        </w:rPr>
        <w:lastRenderedPageBreak/>
        <w:t>New advances in cost and range mean that EVs are viable and cost-effective choices for an increasing number of drivers. Across the country, states and local governments are taking action to help their constituents make the switch. This strategy outlines steps to drive expanded adoption of personal EVs in Minnesota.</w:t>
      </w:r>
    </w:p>
    <w:p w14:paraId="7F4518FD" w14:textId="77777777" w:rsidR="00B65A50" w:rsidRPr="00F041AD" w:rsidRDefault="00B65A50" w:rsidP="00F655E6">
      <w:pPr>
        <w:pStyle w:val="5BodyText"/>
        <w:rPr>
          <w:color w:val="333333" w:themeColor="background1"/>
        </w:rPr>
      </w:pPr>
      <w:r w:rsidRPr="00F041AD">
        <w:rPr>
          <w:color w:val="333333" w:themeColor="background1"/>
        </w:rPr>
        <w:t>Specific actions for strategy implementation:</w:t>
      </w:r>
    </w:p>
    <w:p w14:paraId="18DC9AC6" w14:textId="77777777" w:rsidR="00B65A50" w:rsidRPr="00F041AD" w:rsidRDefault="00B65A50" w:rsidP="00F655E6">
      <w:pPr>
        <w:pStyle w:val="5BodyText"/>
        <w:rPr>
          <w:b/>
          <w:color w:val="333333" w:themeColor="background1"/>
        </w:rPr>
      </w:pPr>
    </w:p>
    <w:p w14:paraId="622A50F4" w14:textId="77777777" w:rsidR="00B65A50" w:rsidRPr="00F041AD" w:rsidRDefault="00B65A50" w:rsidP="00F655E6">
      <w:pPr>
        <w:pStyle w:val="5BodyText"/>
        <w:numPr>
          <w:ilvl w:val="0"/>
          <w:numId w:val="60"/>
        </w:numPr>
        <w:rPr>
          <w:color w:val="333333" w:themeColor="background1"/>
        </w:rPr>
      </w:pPr>
      <w:r w:rsidRPr="00F041AD">
        <w:rPr>
          <w:b/>
          <w:color w:val="333333" w:themeColor="background1"/>
        </w:rPr>
        <w:t>Coordinate a bulk discount program</w:t>
      </w:r>
      <w:r w:rsidRPr="00F041AD">
        <w:rPr>
          <w:color w:val="333333" w:themeColor="background1"/>
        </w:rPr>
        <w:t xml:space="preserve"> </w:t>
      </w:r>
      <w:r w:rsidRPr="00F041AD">
        <w:rPr>
          <w:b/>
          <w:color w:val="333333" w:themeColor="background1"/>
        </w:rPr>
        <w:t>or public awareness campaign.</w:t>
      </w:r>
      <w:r w:rsidRPr="00F041AD">
        <w:rPr>
          <w:color w:val="333333" w:themeColor="background1"/>
        </w:rPr>
        <w:t xml:space="preserve"> Dealerships and manufacturers could work with state and/or local governments help to reduce the upfront cost of EVs by setting up a bulk discount program that offered EVs at a reduced rate for local buyers. This program would help increase sales volume for the dealerships and manufacturers by providing marketing for many potential buyers, allowing a lower per-vehicle unit price to still make financial sense for sellers.</w:t>
      </w:r>
      <w:r w:rsidRPr="00F041AD">
        <w:rPr>
          <w:color w:val="333333" w:themeColor="background1"/>
        </w:rPr>
        <w:br/>
      </w:r>
      <w:r w:rsidRPr="00F041AD">
        <w:rPr>
          <w:color w:val="333333" w:themeColor="background1"/>
        </w:rPr>
        <w:br/>
        <w:t xml:space="preserve">To execute this deal, state or local government entities could issue a request for proposals to vehicle manufacturers or dealerships asking them to come forward with favorable pricing on EVs. All partners may participate in marketing efforts and heavily promote the offer during a set time period. </w:t>
      </w:r>
    </w:p>
    <w:p w14:paraId="0C70953C" w14:textId="77777777" w:rsidR="00B65A50" w:rsidRPr="00F041AD" w:rsidRDefault="00B65A50" w:rsidP="00F655E6">
      <w:pPr>
        <w:pStyle w:val="5BodyText"/>
        <w:rPr>
          <w:color w:val="333333" w:themeColor="background1"/>
        </w:rPr>
      </w:pPr>
    </w:p>
    <w:p w14:paraId="5619C42F" w14:textId="77777777" w:rsidR="00B65A50" w:rsidRPr="00F041AD" w:rsidRDefault="00B65A50" w:rsidP="00F655E6">
      <w:pPr>
        <w:pStyle w:val="5BodyText"/>
        <w:ind w:left="720"/>
        <w:rPr>
          <w:color w:val="333333" w:themeColor="background1"/>
        </w:rPr>
      </w:pPr>
      <w:r w:rsidRPr="00F041AD">
        <w:rPr>
          <w:b/>
          <w:color w:val="333333" w:themeColor="background1"/>
        </w:rPr>
        <w:t>Champions/ Key Participants:</w:t>
      </w:r>
      <w:r w:rsidRPr="00F041AD">
        <w:rPr>
          <w:color w:val="333333" w:themeColor="background1"/>
        </w:rPr>
        <w:t xml:space="preserve"> </w:t>
      </w:r>
    </w:p>
    <w:p w14:paraId="3588316A" w14:textId="77777777" w:rsidR="00B65A50" w:rsidRPr="00F041AD" w:rsidRDefault="00B65A50" w:rsidP="00F655E6">
      <w:pPr>
        <w:pStyle w:val="5BodyText"/>
        <w:ind w:left="720"/>
        <w:rPr>
          <w:color w:val="333333" w:themeColor="background1"/>
        </w:rPr>
      </w:pPr>
      <w:r w:rsidRPr="00F041AD">
        <w:rPr>
          <w:b/>
          <w:color w:val="333333" w:themeColor="background1"/>
        </w:rPr>
        <w:t xml:space="preserve">- </w:t>
      </w:r>
      <w:r w:rsidRPr="00F041AD">
        <w:rPr>
          <w:color w:val="333333" w:themeColor="background1"/>
        </w:rPr>
        <w:t xml:space="preserve">Drive Electric Minnesota </w:t>
      </w:r>
    </w:p>
    <w:p w14:paraId="44DC9064" w14:textId="77777777" w:rsidR="00B65A50" w:rsidRPr="00F041AD" w:rsidRDefault="00B65A50" w:rsidP="00F655E6">
      <w:pPr>
        <w:pStyle w:val="5BodyText"/>
        <w:rPr>
          <w:color w:val="333333" w:themeColor="background1"/>
        </w:rPr>
      </w:pPr>
      <w:r w:rsidRPr="00F041AD">
        <w:rPr>
          <w:color w:val="333333" w:themeColor="background1"/>
        </w:rPr>
        <w:tab/>
      </w:r>
      <w:r w:rsidRPr="00F041AD">
        <w:rPr>
          <w:b/>
          <w:color w:val="333333" w:themeColor="background1"/>
        </w:rPr>
        <w:t xml:space="preserve">- </w:t>
      </w:r>
      <w:r w:rsidRPr="00F041AD">
        <w:rPr>
          <w:color w:val="333333" w:themeColor="background1"/>
        </w:rPr>
        <w:t>Local and state government</w:t>
      </w:r>
    </w:p>
    <w:p w14:paraId="5C9C20D9" w14:textId="77777777" w:rsidR="00B65A50" w:rsidRPr="00F041AD" w:rsidRDefault="00B65A50" w:rsidP="00F655E6">
      <w:pPr>
        <w:pStyle w:val="5BodyText"/>
        <w:ind w:firstLine="720"/>
        <w:rPr>
          <w:color w:val="333333" w:themeColor="background1"/>
        </w:rPr>
      </w:pPr>
      <w:r w:rsidRPr="00F041AD">
        <w:rPr>
          <w:b/>
          <w:color w:val="333333" w:themeColor="background1"/>
        </w:rPr>
        <w:t xml:space="preserve">- </w:t>
      </w:r>
      <w:r w:rsidRPr="00F041AD">
        <w:rPr>
          <w:color w:val="333333" w:themeColor="background1"/>
        </w:rPr>
        <w:t>Manufacturers</w:t>
      </w:r>
    </w:p>
    <w:p w14:paraId="6CA4FA79" w14:textId="77777777" w:rsidR="00B65A50" w:rsidRPr="00F041AD" w:rsidRDefault="00B65A50" w:rsidP="00F655E6">
      <w:pPr>
        <w:pStyle w:val="5BodyText"/>
        <w:ind w:firstLine="720"/>
        <w:rPr>
          <w:color w:val="333333" w:themeColor="background1"/>
        </w:rPr>
      </w:pPr>
      <w:r w:rsidRPr="00F041AD">
        <w:rPr>
          <w:b/>
          <w:color w:val="333333" w:themeColor="background1"/>
        </w:rPr>
        <w:t xml:space="preserve">- </w:t>
      </w:r>
      <w:r w:rsidRPr="00F041AD">
        <w:rPr>
          <w:color w:val="333333" w:themeColor="background1"/>
        </w:rPr>
        <w:t>Dealerships</w:t>
      </w:r>
    </w:p>
    <w:p w14:paraId="1029E567" w14:textId="77777777" w:rsidR="00B65A50" w:rsidRPr="00F041AD" w:rsidRDefault="00B65A50" w:rsidP="00F655E6">
      <w:pPr>
        <w:pStyle w:val="5BodyText"/>
        <w:ind w:firstLine="720"/>
        <w:rPr>
          <w:color w:val="333333" w:themeColor="background1"/>
        </w:rPr>
      </w:pPr>
      <w:r w:rsidRPr="00F041AD">
        <w:rPr>
          <w:b/>
          <w:color w:val="333333" w:themeColor="background1"/>
        </w:rPr>
        <w:t xml:space="preserve">- </w:t>
      </w:r>
      <w:r w:rsidRPr="00F041AD">
        <w:rPr>
          <w:color w:val="333333" w:themeColor="background1"/>
        </w:rPr>
        <w:t>Marketing partners including electric utilities and NGOs</w:t>
      </w:r>
    </w:p>
    <w:p w14:paraId="32525432" w14:textId="77777777" w:rsidR="00B65A50" w:rsidRPr="00F041AD" w:rsidRDefault="00B65A50" w:rsidP="00F655E6">
      <w:pPr>
        <w:pStyle w:val="5BodyText"/>
        <w:rPr>
          <w:color w:val="333333" w:themeColor="background1"/>
        </w:rPr>
      </w:pPr>
    </w:p>
    <w:p w14:paraId="1B74C959" w14:textId="77777777" w:rsidR="00B65A50" w:rsidRPr="00F041AD" w:rsidRDefault="00B65A50" w:rsidP="00F655E6">
      <w:pPr>
        <w:pStyle w:val="5BodyText"/>
        <w:numPr>
          <w:ilvl w:val="0"/>
          <w:numId w:val="60"/>
        </w:numPr>
        <w:rPr>
          <w:color w:val="333333" w:themeColor="background1"/>
        </w:rPr>
      </w:pPr>
      <w:r w:rsidRPr="00F041AD">
        <w:rPr>
          <w:b/>
          <w:color w:val="333333" w:themeColor="background1"/>
        </w:rPr>
        <w:t>Develop state, local, and other incentives for purchasers of new EVs.</w:t>
      </w:r>
      <w:r w:rsidRPr="00F041AD">
        <w:rPr>
          <w:color w:val="333333" w:themeColor="background1"/>
        </w:rPr>
        <w:br/>
        <w:t>At least a dozen states have introduced state-level tax credits and other incentives for EV purchasers. Combined with the federal tax rebate available for new EVs, between</w:t>
      </w:r>
      <w:r w:rsidRPr="00F041AD">
        <w:rPr>
          <w:color w:val="333333" w:themeColor="background1"/>
          <w:highlight w:val="white"/>
        </w:rPr>
        <w:t xml:space="preserve"> $2,500 and up to $7,500,</w:t>
      </w:r>
      <w:r w:rsidRPr="00F041AD">
        <w:rPr>
          <w:color w:val="333333" w:themeColor="background1"/>
          <w:highlight w:val="white"/>
          <w:vertAlign w:val="superscript"/>
        </w:rPr>
        <w:endnoteReference w:id="85"/>
      </w:r>
      <w:r w:rsidRPr="00F041AD">
        <w:rPr>
          <w:color w:val="333333" w:themeColor="background1"/>
          <w:highlight w:val="white"/>
        </w:rPr>
        <w:t xml:space="preserve"> these </w:t>
      </w:r>
      <w:r w:rsidRPr="00F041AD">
        <w:rPr>
          <w:color w:val="333333" w:themeColor="background1"/>
        </w:rPr>
        <w:t>incentives have been shown to drive EV adoption in these states.</w:t>
      </w:r>
      <w:r w:rsidRPr="00F041AD">
        <w:rPr>
          <w:color w:val="333333" w:themeColor="background1"/>
          <w:vertAlign w:val="superscript"/>
        </w:rPr>
        <w:endnoteReference w:id="86"/>
      </w:r>
      <w:r w:rsidRPr="00F041AD">
        <w:rPr>
          <w:color w:val="333333" w:themeColor="background1"/>
        </w:rPr>
        <w:t xml:space="preserve"> State government or agencies, local governments, and private companies could introduce one or more incentives, including:</w:t>
      </w:r>
    </w:p>
    <w:p w14:paraId="6A5D243C" w14:textId="77777777" w:rsidR="00B65A50" w:rsidRPr="00F041AD" w:rsidRDefault="00B65A50" w:rsidP="00F655E6">
      <w:pPr>
        <w:pStyle w:val="5BodyText"/>
        <w:ind w:left="720"/>
        <w:rPr>
          <w:color w:val="333333" w:themeColor="background1"/>
        </w:rPr>
      </w:pPr>
    </w:p>
    <w:p w14:paraId="124407E3"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Tax credits</w:t>
      </w:r>
    </w:p>
    <w:p w14:paraId="56EF4D21"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High-occupancy vehicle lane access</w:t>
      </w:r>
    </w:p>
    <w:p w14:paraId="356ED7A3"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Charging equipment financing, including at workplaces</w:t>
      </w:r>
    </w:p>
    <w:p w14:paraId="78534A39"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Preferential parking</w:t>
      </w:r>
    </w:p>
    <w:p w14:paraId="2E536DE3"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 xml:space="preserve">Reduced fees at state parks, etc. </w:t>
      </w:r>
    </w:p>
    <w:p w14:paraId="51AB56A2" w14:textId="77777777" w:rsidR="00B65A50" w:rsidRPr="00F041AD" w:rsidRDefault="00B65A50" w:rsidP="00F655E6">
      <w:pPr>
        <w:pStyle w:val="5BodyText"/>
        <w:rPr>
          <w:color w:val="333333" w:themeColor="background1"/>
        </w:rPr>
      </w:pPr>
    </w:p>
    <w:p w14:paraId="35277565" w14:textId="77777777" w:rsidR="00B65A50" w:rsidRPr="00F041AD" w:rsidRDefault="00B65A50" w:rsidP="00F655E6">
      <w:pPr>
        <w:pStyle w:val="5BodyText"/>
        <w:ind w:firstLine="720"/>
        <w:rPr>
          <w:color w:val="333333" w:themeColor="background1"/>
        </w:rPr>
      </w:pPr>
      <w:r w:rsidRPr="00F041AD">
        <w:rPr>
          <w:color w:val="333333" w:themeColor="background1"/>
        </w:rPr>
        <w:t xml:space="preserve">These incentives would improve the value proposition for drivers to choose an EV. </w:t>
      </w:r>
    </w:p>
    <w:p w14:paraId="45CF76C9" w14:textId="77777777" w:rsidR="00B65A50" w:rsidRPr="00F041AD" w:rsidRDefault="00B65A50" w:rsidP="00F655E6">
      <w:pPr>
        <w:pStyle w:val="5BodyText"/>
        <w:rPr>
          <w:color w:val="333333" w:themeColor="background1"/>
        </w:rPr>
      </w:pPr>
    </w:p>
    <w:p w14:paraId="430CE7B8" w14:textId="77777777" w:rsidR="00B65A50" w:rsidRPr="00F041AD" w:rsidRDefault="00B65A50" w:rsidP="00F655E6">
      <w:pPr>
        <w:pStyle w:val="5BodyText"/>
        <w:ind w:left="720"/>
        <w:rPr>
          <w:color w:val="333333" w:themeColor="background1"/>
        </w:rPr>
      </w:pPr>
      <w:r w:rsidRPr="00F041AD">
        <w:rPr>
          <w:b/>
          <w:color w:val="333333" w:themeColor="background1"/>
        </w:rPr>
        <w:t>Champions/ Key Participants:</w:t>
      </w:r>
      <w:r w:rsidRPr="00F041AD">
        <w:rPr>
          <w:color w:val="333333" w:themeColor="background1"/>
        </w:rPr>
        <w:t xml:space="preserve"> </w:t>
      </w:r>
    </w:p>
    <w:p w14:paraId="61224A7E" w14:textId="77777777" w:rsidR="00B65A50" w:rsidRPr="00F041AD" w:rsidRDefault="00B65A50" w:rsidP="00F655E6">
      <w:pPr>
        <w:pStyle w:val="5BodyText"/>
        <w:ind w:firstLine="720"/>
        <w:rPr>
          <w:color w:val="333333" w:themeColor="background1"/>
        </w:rPr>
      </w:pPr>
      <w:r w:rsidRPr="00F041AD">
        <w:rPr>
          <w:color w:val="333333" w:themeColor="background1"/>
        </w:rPr>
        <w:t>-</w:t>
      </w:r>
      <w:r w:rsidRPr="00F041AD">
        <w:rPr>
          <w:b/>
          <w:color w:val="333333" w:themeColor="background1"/>
        </w:rPr>
        <w:t xml:space="preserve"> </w:t>
      </w:r>
      <w:r w:rsidRPr="00F041AD">
        <w:rPr>
          <w:color w:val="333333" w:themeColor="background1"/>
        </w:rPr>
        <w:t>Drive Electric Minnesota</w:t>
      </w:r>
    </w:p>
    <w:p w14:paraId="7B90BD01" w14:textId="77777777" w:rsidR="00B65A50" w:rsidRPr="00F041AD" w:rsidRDefault="00B65A50" w:rsidP="00F655E6">
      <w:pPr>
        <w:pStyle w:val="5BodyText"/>
        <w:rPr>
          <w:color w:val="333333" w:themeColor="background1"/>
        </w:rPr>
      </w:pPr>
      <w:r w:rsidRPr="00F041AD">
        <w:rPr>
          <w:color w:val="333333" w:themeColor="background1"/>
        </w:rPr>
        <w:tab/>
        <w:t>-</w:t>
      </w:r>
      <w:r w:rsidRPr="00F041AD">
        <w:rPr>
          <w:b/>
          <w:color w:val="333333" w:themeColor="background1"/>
        </w:rPr>
        <w:t xml:space="preserve"> </w:t>
      </w:r>
      <w:r w:rsidRPr="00F041AD">
        <w:rPr>
          <w:color w:val="333333" w:themeColor="background1"/>
        </w:rPr>
        <w:t>State and/or local governments</w:t>
      </w:r>
    </w:p>
    <w:p w14:paraId="7AAFCB84" w14:textId="77777777" w:rsidR="00B65A50" w:rsidRPr="00F041AD" w:rsidRDefault="00B65A50" w:rsidP="00F655E6">
      <w:pPr>
        <w:pStyle w:val="5BodyText"/>
        <w:rPr>
          <w:color w:val="333333" w:themeColor="background1"/>
        </w:rPr>
      </w:pPr>
    </w:p>
    <w:p w14:paraId="451F8668" w14:textId="77777777" w:rsidR="00B65A50" w:rsidRPr="00F041AD" w:rsidRDefault="00B65A50" w:rsidP="00F655E6">
      <w:pPr>
        <w:pStyle w:val="5BodyText"/>
        <w:numPr>
          <w:ilvl w:val="0"/>
          <w:numId w:val="60"/>
        </w:numPr>
        <w:rPr>
          <w:color w:val="333333" w:themeColor="background1"/>
        </w:rPr>
      </w:pPr>
      <w:r w:rsidRPr="00F041AD">
        <w:rPr>
          <w:b/>
          <w:color w:val="333333" w:themeColor="background1"/>
        </w:rPr>
        <w:t>Increase access to workplace charging stations</w:t>
      </w:r>
      <w:r w:rsidRPr="00F041AD">
        <w:rPr>
          <w:color w:val="333333" w:themeColor="background1"/>
        </w:rPr>
        <w:t xml:space="preserve">. </w:t>
      </w:r>
      <w:r w:rsidRPr="00F041AD">
        <w:rPr>
          <w:color w:val="333333" w:themeColor="background1"/>
        </w:rPr>
        <w:br/>
        <w:t>Due to the battery range limits of many current EV models, a lack of workplace charging access has been identified as a major barrier for drivers to choose an EV over a conventional vehicle. To accelerate adoption, employers can work with utilities and service providers to investigate funding opportunities and prioritize charging equipment deployment.</w:t>
      </w:r>
      <w:r w:rsidRPr="00F041AD">
        <w:rPr>
          <w:color w:val="333333" w:themeColor="background1"/>
        </w:rPr>
        <w:br/>
      </w:r>
    </w:p>
    <w:p w14:paraId="65741C92" w14:textId="77777777" w:rsidR="00B65A50" w:rsidRPr="00F041AD" w:rsidRDefault="00B65A50" w:rsidP="00F655E6">
      <w:pPr>
        <w:pStyle w:val="5BodyText"/>
        <w:ind w:left="720"/>
        <w:rPr>
          <w:color w:val="333333" w:themeColor="background1"/>
        </w:rPr>
      </w:pPr>
      <w:r w:rsidRPr="00F041AD">
        <w:rPr>
          <w:b/>
          <w:color w:val="333333" w:themeColor="background1"/>
        </w:rPr>
        <w:t>Champions/ Key Participants:</w:t>
      </w:r>
      <w:r w:rsidRPr="00F041AD">
        <w:rPr>
          <w:color w:val="333333" w:themeColor="background1"/>
        </w:rPr>
        <w:t xml:space="preserve"> </w:t>
      </w:r>
    </w:p>
    <w:p w14:paraId="3278F03F" w14:textId="77777777" w:rsidR="00B65A50" w:rsidRPr="00F041AD" w:rsidRDefault="00B65A50" w:rsidP="00F655E6">
      <w:pPr>
        <w:pStyle w:val="5BodyText"/>
        <w:ind w:left="720"/>
        <w:rPr>
          <w:color w:val="333333" w:themeColor="background1"/>
        </w:rPr>
      </w:pPr>
      <w:r w:rsidRPr="00F041AD">
        <w:rPr>
          <w:color w:val="333333" w:themeColor="background1"/>
        </w:rPr>
        <w:t xml:space="preserve">- </w:t>
      </w:r>
      <w:proofErr w:type="spellStart"/>
      <w:r w:rsidRPr="00F041AD">
        <w:rPr>
          <w:color w:val="333333" w:themeColor="background1"/>
        </w:rPr>
        <w:t>PlugIn</w:t>
      </w:r>
      <w:proofErr w:type="spellEnd"/>
      <w:r w:rsidRPr="00F041AD">
        <w:rPr>
          <w:color w:val="333333" w:themeColor="background1"/>
        </w:rPr>
        <w:t xml:space="preserve"> Connect </w:t>
      </w:r>
    </w:p>
    <w:p w14:paraId="64A5673E" w14:textId="77777777" w:rsidR="00B65A50" w:rsidRPr="00F041AD" w:rsidRDefault="00B65A50" w:rsidP="00F655E6">
      <w:pPr>
        <w:pStyle w:val="5BodyText"/>
        <w:ind w:left="720"/>
        <w:rPr>
          <w:color w:val="333333" w:themeColor="background1"/>
        </w:rPr>
      </w:pPr>
      <w:r w:rsidRPr="00F041AD">
        <w:rPr>
          <w:color w:val="333333" w:themeColor="background1"/>
        </w:rPr>
        <w:t>- Individual workplaces</w:t>
      </w:r>
    </w:p>
    <w:p w14:paraId="3876A4DE" w14:textId="77777777" w:rsidR="00B65A50" w:rsidRPr="00F041AD" w:rsidRDefault="00B65A50" w:rsidP="00F655E6">
      <w:pPr>
        <w:pStyle w:val="5BodyText"/>
        <w:ind w:left="720"/>
        <w:rPr>
          <w:color w:val="333333" w:themeColor="background1"/>
        </w:rPr>
      </w:pPr>
      <w:r w:rsidRPr="00F041AD">
        <w:rPr>
          <w:color w:val="333333" w:themeColor="background1"/>
        </w:rPr>
        <w:t>- Electric utilities</w:t>
      </w:r>
    </w:p>
    <w:p w14:paraId="3A9FAF57" w14:textId="77777777" w:rsidR="00B65A50" w:rsidRPr="00F041AD" w:rsidRDefault="00B65A50" w:rsidP="00F655E6">
      <w:pPr>
        <w:pStyle w:val="5BodyText"/>
        <w:rPr>
          <w:color w:val="333333" w:themeColor="background1"/>
        </w:rPr>
      </w:pPr>
    </w:p>
    <w:p w14:paraId="76724125" w14:textId="77777777" w:rsidR="00645823" w:rsidRPr="00F041AD" w:rsidRDefault="00645823" w:rsidP="00F655E6">
      <w:pPr>
        <w:pStyle w:val="5BodyText"/>
        <w:rPr>
          <w:color w:val="333333" w:themeColor="background1"/>
        </w:rPr>
      </w:pPr>
    </w:p>
    <w:p w14:paraId="183A13E4" w14:textId="77777777" w:rsidR="00645823" w:rsidRPr="00F041AD" w:rsidRDefault="00645823" w:rsidP="00F655E6">
      <w:pPr>
        <w:pStyle w:val="5BodyText"/>
        <w:rPr>
          <w:color w:val="333333" w:themeColor="background1"/>
        </w:rPr>
      </w:pPr>
    </w:p>
    <w:p w14:paraId="1B167C84" w14:textId="77777777" w:rsidR="00B65A50" w:rsidRPr="00F041AD" w:rsidRDefault="00B65A50" w:rsidP="00F655E6">
      <w:pPr>
        <w:pStyle w:val="5BodyText"/>
        <w:rPr>
          <w:b/>
          <w:i/>
          <w:color w:val="333333" w:themeColor="background1"/>
        </w:rPr>
      </w:pPr>
      <w:r w:rsidRPr="00F041AD">
        <w:rPr>
          <w:b/>
          <w:i/>
          <w:color w:val="333333" w:themeColor="background1"/>
        </w:rPr>
        <w:t>Success factors:</w:t>
      </w:r>
    </w:p>
    <w:p w14:paraId="48B39A9C" w14:textId="77777777" w:rsidR="00B65A50" w:rsidRPr="00F041AD" w:rsidRDefault="00B65A50" w:rsidP="00F655E6">
      <w:pPr>
        <w:pStyle w:val="5BodyText"/>
        <w:numPr>
          <w:ilvl w:val="0"/>
          <w:numId w:val="61"/>
        </w:numPr>
        <w:rPr>
          <w:color w:val="333333" w:themeColor="background1"/>
        </w:rPr>
      </w:pPr>
      <w:r w:rsidRPr="00F041AD">
        <w:rPr>
          <w:b/>
          <w:color w:val="333333" w:themeColor="background1"/>
        </w:rPr>
        <w:t>Drivers understand the benefits of owning an EV as compared to another vehicle</w:t>
      </w:r>
      <w:r w:rsidRPr="00F041AD">
        <w:rPr>
          <w:color w:val="333333" w:themeColor="background1"/>
        </w:rPr>
        <w:t>. Car purchasers take into account fuel savings and maintenance costs when evaluating options; consumer education can help broadcast these benefits.</w:t>
      </w:r>
    </w:p>
    <w:p w14:paraId="2D3F3787" w14:textId="77777777" w:rsidR="00B65A50" w:rsidRPr="00F041AD" w:rsidRDefault="00B65A50" w:rsidP="00F655E6">
      <w:pPr>
        <w:pStyle w:val="5BodyText"/>
        <w:numPr>
          <w:ilvl w:val="0"/>
          <w:numId w:val="61"/>
        </w:numPr>
        <w:rPr>
          <w:color w:val="333333" w:themeColor="background1"/>
        </w:rPr>
      </w:pPr>
      <w:r w:rsidRPr="00F041AD">
        <w:rPr>
          <w:b/>
          <w:color w:val="333333" w:themeColor="background1"/>
        </w:rPr>
        <w:t>“Range anxiety” concerns are mitigated.</w:t>
      </w:r>
      <w:r w:rsidRPr="00F041AD">
        <w:rPr>
          <w:color w:val="333333" w:themeColor="background1"/>
        </w:rPr>
        <w:t xml:space="preserve"> A variety of strategies can help address range anxiety, including expanded charging network access with compatibility for the majority of vehicle types, technology advances (e.g. upcoming low-cost 200-mile range EV models), and education about actual range needs versus perceived needs.</w:t>
      </w:r>
    </w:p>
    <w:p w14:paraId="177704A9" w14:textId="77777777" w:rsidR="00B65A50" w:rsidRPr="00F041AD" w:rsidRDefault="00B65A50" w:rsidP="00F655E6">
      <w:pPr>
        <w:pStyle w:val="5BodyText"/>
        <w:rPr>
          <w:color w:val="333333" w:themeColor="background1"/>
        </w:rPr>
      </w:pPr>
    </w:p>
    <w:p w14:paraId="4BFA7FF7" w14:textId="77777777" w:rsidR="00B65A50" w:rsidRPr="00F041AD" w:rsidRDefault="00B65A50" w:rsidP="00F655E6">
      <w:pPr>
        <w:pStyle w:val="5BodyText"/>
        <w:rPr>
          <w:b/>
          <w:i/>
          <w:color w:val="333333" w:themeColor="background1"/>
        </w:rPr>
      </w:pPr>
      <w:r w:rsidRPr="00F041AD">
        <w:rPr>
          <w:b/>
          <w:i/>
          <w:color w:val="333333" w:themeColor="background1"/>
        </w:rPr>
        <w:t>Indicators of strategy success:</w:t>
      </w:r>
    </w:p>
    <w:p w14:paraId="640C05E3" w14:textId="77777777" w:rsidR="00B65A50" w:rsidRPr="00F041AD" w:rsidRDefault="00B65A50" w:rsidP="00F655E6">
      <w:pPr>
        <w:pStyle w:val="5BodyText"/>
        <w:numPr>
          <w:ilvl w:val="0"/>
          <w:numId w:val="62"/>
        </w:numPr>
        <w:rPr>
          <w:color w:val="333333" w:themeColor="background1"/>
        </w:rPr>
      </w:pPr>
      <w:r w:rsidRPr="00F041AD">
        <w:rPr>
          <w:color w:val="333333" w:themeColor="background1"/>
        </w:rPr>
        <w:t>Number of electric vehicles registered (or percentage of total)</w:t>
      </w:r>
    </w:p>
    <w:p w14:paraId="3C4AC988" w14:textId="77777777" w:rsidR="00B65A50" w:rsidRPr="00F041AD" w:rsidRDefault="00B65A50" w:rsidP="00F655E6">
      <w:pPr>
        <w:pStyle w:val="5BodyText"/>
        <w:numPr>
          <w:ilvl w:val="0"/>
          <w:numId w:val="62"/>
        </w:numPr>
        <w:rPr>
          <w:color w:val="333333" w:themeColor="background1"/>
        </w:rPr>
      </w:pPr>
      <w:r w:rsidRPr="00F041AD">
        <w:rPr>
          <w:color w:val="333333" w:themeColor="background1"/>
        </w:rPr>
        <w:t>Growth rate in electric vehicle sales (percent increase from 2015 to 2025)</w:t>
      </w:r>
    </w:p>
    <w:p w14:paraId="1C2227BF" w14:textId="77777777" w:rsidR="00B65A50" w:rsidRPr="00F041AD" w:rsidRDefault="00B65A50" w:rsidP="00F655E6">
      <w:pPr>
        <w:pStyle w:val="5BodyText"/>
        <w:numPr>
          <w:ilvl w:val="0"/>
          <w:numId w:val="62"/>
        </w:numPr>
        <w:rPr>
          <w:color w:val="333333" w:themeColor="background1"/>
        </w:rPr>
      </w:pPr>
      <w:r w:rsidRPr="00F041AD">
        <w:rPr>
          <w:color w:val="333333" w:themeColor="background1"/>
        </w:rPr>
        <w:t>Electric vehicle miles traveled (VMT) in Minnesota (as percent of total VMT)</w:t>
      </w:r>
    </w:p>
    <w:p w14:paraId="655B8CD9" w14:textId="77777777" w:rsidR="00B65A50" w:rsidRPr="00F041AD" w:rsidRDefault="00B65A50" w:rsidP="00F655E6">
      <w:pPr>
        <w:pStyle w:val="5BodyText"/>
        <w:rPr>
          <w:color w:val="333333" w:themeColor="background1"/>
        </w:rPr>
      </w:pPr>
    </w:p>
    <w:p w14:paraId="04373F19" w14:textId="77777777" w:rsidR="00B65A50" w:rsidRPr="00F041AD" w:rsidRDefault="00B65A50" w:rsidP="00F655E6">
      <w:pPr>
        <w:pStyle w:val="5BodyText"/>
        <w:rPr>
          <w:b/>
          <w:i/>
          <w:color w:val="333333" w:themeColor="background1"/>
        </w:rPr>
      </w:pPr>
      <w:r w:rsidRPr="00F041AD">
        <w:rPr>
          <w:b/>
          <w:i/>
          <w:color w:val="333333" w:themeColor="background1"/>
        </w:rPr>
        <w:t>Cross-sector opportunities and synergies:</w:t>
      </w:r>
    </w:p>
    <w:p w14:paraId="567C4286" w14:textId="77777777" w:rsidR="00B65A50" w:rsidRPr="00F041AD" w:rsidRDefault="00B65A50" w:rsidP="00F655E6">
      <w:pPr>
        <w:pStyle w:val="5BodyText"/>
        <w:numPr>
          <w:ilvl w:val="0"/>
          <w:numId w:val="63"/>
        </w:numPr>
        <w:rPr>
          <w:color w:val="333333" w:themeColor="background1"/>
        </w:rPr>
      </w:pPr>
      <w:r w:rsidRPr="00F041AD">
        <w:rPr>
          <w:b/>
          <w:color w:val="333333" w:themeColor="background1"/>
        </w:rPr>
        <w:t>Green power options</w:t>
      </w:r>
      <w:r w:rsidRPr="00F041AD">
        <w:rPr>
          <w:color w:val="333333" w:themeColor="background1"/>
        </w:rPr>
        <w:t xml:space="preserve"> let EV owners opt to charge their vehicles with green power.</w:t>
      </w:r>
    </w:p>
    <w:p w14:paraId="78110177" w14:textId="77777777" w:rsidR="00B65A50" w:rsidRPr="00F041AD" w:rsidRDefault="00B65A50" w:rsidP="00F655E6">
      <w:pPr>
        <w:pStyle w:val="5BodyText"/>
        <w:numPr>
          <w:ilvl w:val="0"/>
          <w:numId w:val="63"/>
        </w:numPr>
        <w:rPr>
          <w:color w:val="333333" w:themeColor="background1"/>
        </w:rPr>
      </w:pPr>
      <w:r w:rsidRPr="00F041AD">
        <w:rPr>
          <w:b/>
          <w:color w:val="333333" w:themeColor="background1"/>
        </w:rPr>
        <w:lastRenderedPageBreak/>
        <w:t xml:space="preserve">Time-varying electricity pricing </w:t>
      </w:r>
      <w:r w:rsidRPr="00F041AD">
        <w:rPr>
          <w:color w:val="333333" w:themeColor="background1"/>
        </w:rPr>
        <w:t>could incent owners to charge EVs during off-peak hours, further improving the economic case and lowering grid costs.</w:t>
      </w:r>
    </w:p>
    <w:p w14:paraId="3F723CEC" w14:textId="77777777" w:rsidR="00B65A50" w:rsidRPr="00F041AD" w:rsidRDefault="00B65A50" w:rsidP="00F655E6">
      <w:pPr>
        <w:pStyle w:val="5BodyText"/>
        <w:numPr>
          <w:ilvl w:val="0"/>
          <w:numId w:val="63"/>
        </w:numPr>
        <w:rPr>
          <w:color w:val="333333" w:themeColor="background1"/>
        </w:rPr>
      </w:pPr>
      <w:r w:rsidRPr="00F041AD">
        <w:rPr>
          <w:color w:val="333333" w:themeColor="background1"/>
        </w:rPr>
        <w:t xml:space="preserve">With the development of favorable market mechanisms, large numbers of EVs can be an </w:t>
      </w:r>
      <w:r w:rsidRPr="00F041AD">
        <w:rPr>
          <w:b/>
          <w:color w:val="333333" w:themeColor="background1"/>
        </w:rPr>
        <w:t>energy storage and/or demand response</w:t>
      </w:r>
      <w:r w:rsidRPr="00F041AD">
        <w:rPr>
          <w:color w:val="333333" w:themeColor="background1"/>
        </w:rPr>
        <w:t xml:space="preserve"> </w:t>
      </w:r>
      <w:r w:rsidRPr="00F041AD">
        <w:rPr>
          <w:b/>
          <w:color w:val="333333" w:themeColor="background1"/>
        </w:rPr>
        <w:t>resource</w:t>
      </w:r>
      <w:r w:rsidRPr="00F041AD">
        <w:rPr>
          <w:color w:val="333333" w:themeColor="background1"/>
        </w:rPr>
        <w:t xml:space="preserve"> to improve grid operations.</w:t>
      </w:r>
    </w:p>
    <w:p w14:paraId="1C980BF8" w14:textId="77777777" w:rsidR="00B65A50" w:rsidRPr="00F041AD" w:rsidRDefault="00B65A50" w:rsidP="00F655E6">
      <w:pPr>
        <w:pStyle w:val="5BodyText"/>
        <w:rPr>
          <w:color w:val="333333" w:themeColor="background1"/>
        </w:rPr>
      </w:pPr>
    </w:p>
    <w:p w14:paraId="100FE198" w14:textId="77777777" w:rsidR="00B65A50" w:rsidRPr="00F041AD" w:rsidRDefault="00B65A50" w:rsidP="00F655E6">
      <w:pPr>
        <w:pStyle w:val="5BodyText"/>
        <w:rPr>
          <w:b/>
          <w:i/>
          <w:color w:val="333333" w:themeColor="background1"/>
        </w:rPr>
      </w:pPr>
      <w:r w:rsidRPr="00F041AD">
        <w:rPr>
          <w:b/>
          <w:i/>
          <w:color w:val="333333" w:themeColor="background1"/>
        </w:rPr>
        <w:t>Ongoing Minnesota initiatives:</w:t>
      </w:r>
    </w:p>
    <w:p w14:paraId="4C4E360C" w14:textId="77777777" w:rsidR="00B65A50" w:rsidRPr="00F041AD" w:rsidRDefault="006506BB" w:rsidP="00F655E6">
      <w:pPr>
        <w:pStyle w:val="5BodyText"/>
        <w:numPr>
          <w:ilvl w:val="0"/>
          <w:numId w:val="64"/>
        </w:numPr>
        <w:rPr>
          <w:color w:val="333333" w:themeColor="background1"/>
        </w:rPr>
      </w:pPr>
      <w:hyperlink r:id="rId34" w:history="1">
        <w:r w:rsidR="00B65A50" w:rsidRPr="00F041AD">
          <w:rPr>
            <w:rStyle w:val="Hyperlink"/>
            <w:color w:val="333333" w:themeColor="background1"/>
          </w:rPr>
          <w:t>Drive Electric Minnesota</w:t>
        </w:r>
      </w:hyperlink>
      <w:r w:rsidR="00B65A50" w:rsidRPr="00F041AD">
        <w:rPr>
          <w:color w:val="333333" w:themeColor="background1"/>
        </w:rPr>
        <w:t xml:space="preserve"> worked with Nissan North America and </w:t>
      </w:r>
      <w:hyperlink r:id="rId35" w:history="1">
        <w:r w:rsidR="00B65A50" w:rsidRPr="00F041AD">
          <w:rPr>
            <w:rStyle w:val="Hyperlink"/>
            <w:color w:val="333333" w:themeColor="background1"/>
          </w:rPr>
          <w:t>Kline Nissan</w:t>
        </w:r>
      </w:hyperlink>
      <w:r w:rsidR="00B65A50" w:rsidRPr="00F041AD">
        <w:rPr>
          <w:color w:val="333333" w:themeColor="background1"/>
        </w:rPr>
        <w:t xml:space="preserve"> in Maplewood to create a </w:t>
      </w:r>
      <w:hyperlink r:id="rId36" w:history="1">
        <w:r w:rsidR="00B65A50" w:rsidRPr="00F041AD">
          <w:rPr>
            <w:rStyle w:val="Hyperlink"/>
            <w:color w:val="333333" w:themeColor="background1"/>
          </w:rPr>
          <w:t>bulk discount program</w:t>
        </w:r>
      </w:hyperlink>
      <w:r w:rsidR="00B65A50" w:rsidRPr="00F041AD">
        <w:rPr>
          <w:color w:val="333333" w:themeColor="background1"/>
        </w:rPr>
        <w:t>. During the month of March 2016, customers were able to purchase or a lease a 2016 Nissan Leaf for approximately 40 percent less than the suggested retail price.</w:t>
      </w:r>
      <w:r w:rsidR="00B65A50" w:rsidRPr="00F041AD">
        <w:rPr>
          <w:rStyle w:val="EndnoteReference"/>
          <w:color w:val="333333" w:themeColor="background1"/>
        </w:rPr>
        <w:endnoteReference w:id="87"/>
      </w:r>
      <w:r w:rsidR="00B65A50" w:rsidRPr="00F041AD">
        <w:rPr>
          <w:color w:val="333333" w:themeColor="background1"/>
        </w:rPr>
        <w:br/>
      </w:r>
    </w:p>
    <w:p w14:paraId="6F7C3C2E" w14:textId="77777777" w:rsidR="00B65A50" w:rsidRPr="00F041AD" w:rsidRDefault="00B65A50" w:rsidP="00F655E6">
      <w:pPr>
        <w:pStyle w:val="5BodyText"/>
        <w:numPr>
          <w:ilvl w:val="0"/>
          <w:numId w:val="64"/>
        </w:numPr>
        <w:rPr>
          <w:color w:val="333333" w:themeColor="background1"/>
        </w:rPr>
      </w:pPr>
      <w:r w:rsidRPr="00F041AD">
        <w:rPr>
          <w:color w:val="333333" w:themeColor="background1"/>
        </w:rPr>
        <w:t xml:space="preserve">Minnesota does not currently offer rebates or tax incentives for EVs. During the 2015 legislative session, </w:t>
      </w:r>
      <w:hyperlink r:id="rId37" w:history="1">
        <w:r w:rsidRPr="00F041AD">
          <w:rPr>
            <w:rStyle w:val="Hyperlink"/>
            <w:color w:val="333333" w:themeColor="background1"/>
          </w:rPr>
          <w:t>a bill</w:t>
        </w:r>
      </w:hyperlink>
      <w:r w:rsidRPr="00F041AD">
        <w:rPr>
          <w:color w:val="333333" w:themeColor="background1"/>
        </w:rPr>
        <w:t xml:space="preserve"> was introduced that would offer a $2500 rebate on the purchase of new plug-in electric vehicles.</w:t>
      </w:r>
      <w:r w:rsidRPr="00F041AD">
        <w:rPr>
          <w:color w:val="333333" w:themeColor="background1"/>
          <w:vertAlign w:val="superscript"/>
        </w:rPr>
        <w:endnoteReference w:id="88"/>
      </w:r>
      <w:r w:rsidRPr="00F041AD">
        <w:rPr>
          <w:color w:val="333333" w:themeColor="background1"/>
        </w:rPr>
        <w:br/>
      </w:r>
    </w:p>
    <w:p w14:paraId="0C1D980A" w14:textId="77777777" w:rsidR="00B65A50" w:rsidRPr="00F041AD" w:rsidRDefault="006506BB" w:rsidP="00F655E6">
      <w:pPr>
        <w:pStyle w:val="5BodyText"/>
        <w:numPr>
          <w:ilvl w:val="0"/>
          <w:numId w:val="64"/>
        </w:numPr>
        <w:rPr>
          <w:color w:val="333333" w:themeColor="background1"/>
        </w:rPr>
      </w:pPr>
      <w:hyperlink r:id="rId38" w:anchor="stat.216B.169.2" w:history="1">
        <w:r w:rsidR="00B65A50" w:rsidRPr="00F041AD">
          <w:rPr>
            <w:rStyle w:val="Hyperlink"/>
            <w:color w:val="333333" w:themeColor="background1"/>
          </w:rPr>
          <w:t>The electric vehicle charging tariff</w:t>
        </w:r>
      </w:hyperlink>
      <w:r w:rsidR="00B65A50" w:rsidRPr="00F041AD">
        <w:rPr>
          <w:color w:val="333333" w:themeColor="background1"/>
        </w:rPr>
        <w:t xml:space="preserve"> requires public utilities to offer a tariff to customers that purchase electricity to charge their electric vehicles, which must contain either a time-of-day or off-peak rate, and the option to purchase electricity from the utility’s current energy mix or entirely from new renewable resources.</w:t>
      </w:r>
      <w:r w:rsidR="00B65A50" w:rsidRPr="00F041AD">
        <w:rPr>
          <w:color w:val="333333" w:themeColor="background1"/>
          <w:vertAlign w:val="superscript"/>
        </w:rPr>
        <w:endnoteReference w:id="89"/>
      </w:r>
    </w:p>
    <w:p w14:paraId="665E7DB0" w14:textId="77777777" w:rsidR="00B65A50" w:rsidRPr="00F041AD" w:rsidRDefault="00B65A50" w:rsidP="00F655E6">
      <w:pPr>
        <w:pStyle w:val="5BodyText"/>
        <w:rPr>
          <w:color w:val="333333" w:themeColor="background1"/>
        </w:rPr>
      </w:pPr>
    </w:p>
    <w:p w14:paraId="5208C2C5" w14:textId="77777777" w:rsidR="00B65A50" w:rsidRPr="00F041AD" w:rsidRDefault="00B65A50" w:rsidP="00F655E6">
      <w:pPr>
        <w:pStyle w:val="5BodyText"/>
        <w:numPr>
          <w:ilvl w:val="0"/>
          <w:numId w:val="64"/>
        </w:numPr>
        <w:rPr>
          <w:color w:val="333333" w:themeColor="background1"/>
        </w:rPr>
      </w:pPr>
      <w:r w:rsidRPr="00F041AD">
        <w:rPr>
          <w:color w:val="333333" w:themeColor="background1"/>
          <w:highlight w:val="white"/>
        </w:rPr>
        <w:t xml:space="preserve">Plug-In Electric Vehicle Charging Rate Reduction – several Minnesota utilities offer discounted rate for electricity used to charge EVs during off-peak times and/or provide EV driver with 100 percent renewable energy, including </w:t>
      </w:r>
      <w:hyperlink r:id="rId39" w:history="1">
        <w:r w:rsidRPr="00F041AD">
          <w:rPr>
            <w:rStyle w:val="Hyperlink"/>
            <w:color w:val="333333" w:themeColor="background1"/>
            <w:highlight w:val="white"/>
          </w:rPr>
          <w:t>Dakota Electric</w:t>
        </w:r>
      </w:hyperlink>
      <w:r w:rsidRPr="00F041AD">
        <w:rPr>
          <w:color w:val="333333" w:themeColor="background1"/>
          <w:highlight w:val="white"/>
        </w:rPr>
        <w:t xml:space="preserve">, </w:t>
      </w:r>
      <w:hyperlink r:id="rId40" w:history="1">
        <w:proofErr w:type="spellStart"/>
        <w:r w:rsidRPr="00F041AD">
          <w:rPr>
            <w:rStyle w:val="Hyperlink"/>
            <w:color w:val="333333" w:themeColor="background1"/>
            <w:highlight w:val="white"/>
          </w:rPr>
          <w:t>Connexus</w:t>
        </w:r>
        <w:proofErr w:type="spellEnd"/>
        <w:r w:rsidRPr="00F041AD">
          <w:rPr>
            <w:rStyle w:val="Hyperlink"/>
            <w:color w:val="333333" w:themeColor="background1"/>
            <w:highlight w:val="white"/>
          </w:rPr>
          <w:t xml:space="preserve"> Energy</w:t>
        </w:r>
      </w:hyperlink>
      <w:r w:rsidRPr="00F041AD">
        <w:rPr>
          <w:color w:val="333333" w:themeColor="background1"/>
          <w:highlight w:val="white"/>
        </w:rPr>
        <w:t>,</w:t>
      </w:r>
      <w:r w:rsidRPr="00F041AD">
        <w:rPr>
          <w:color w:val="333333" w:themeColor="background1"/>
        </w:rPr>
        <w:t xml:space="preserve"> and </w:t>
      </w:r>
      <w:hyperlink r:id="rId41" w:history="1">
        <w:r w:rsidRPr="00F041AD">
          <w:rPr>
            <w:rStyle w:val="Hyperlink"/>
            <w:color w:val="333333" w:themeColor="background1"/>
          </w:rPr>
          <w:t>Great River Energy</w:t>
        </w:r>
      </w:hyperlink>
      <w:r w:rsidRPr="00F041AD">
        <w:rPr>
          <w:color w:val="333333" w:themeColor="background1"/>
        </w:rPr>
        <w:t>.</w:t>
      </w:r>
      <w:r w:rsidRPr="00F041AD">
        <w:rPr>
          <w:color w:val="333333" w:themeColor="background1"/>
          <w:highlight w:val="white"/>
          <w:vertAlign w:val="superscript"/>
        </w:rPr>
        <w:endnoteReference w:id="90"/>
      </w:r>
      <w:r w:rsidRPr="00F041AD">
        <w:rPr>
          <w:color w:val="333333" w:themeColor="background1"/>
        </w:rPr>
        <w:t xml:space="preserve"> </w:t>
      </w:r>
      <w:r w:rsidRPr="00F041AD">
        <w:rPr>
          <w:color w:val="333333" w:themeColor="background1"/>
          <w:highlight w:val="white"/>
          <w:vertAlign w:val="superscript"/>
        </w:rPr>
        <w:endnoteReference w:id="91"/>
      </w:r>
      <w:r w:rsidRPr="00F041AD">
        <w:rPr>
          <w:color w:val="333333" w:themeColor="background1"/>
        </w:rPr>
        <w:t xml:space="preserve"> </w:t>
      </w:r>
      <w:r w:rsidRPr="00F041AD">
        <w:rPr>
          <w:rStyle w:val="EndnoteReference"/>
          <w:color w:val="333333" w:themeColor="background1"/>
        </w:rPr>
        <w:endnoteReference w:id="92"/>
      </w:r>
    </w:p>
    <w:p w14:paraId="3524E6BE" w14:textId="77777777" w:rsidR="00B65A50" w:rsidRPr="00F041AD" w:rsidRDefault="00B65A50" w:rsidP="00F655E6">
      <w:pPr>
        <w:pStyle w:val="5BodyText"/>
        <w:rPr>
          <w:color w:val="333333" w:themeColor="background1"/>
        </w:rPr>
      </w:pPr>
    </w:p>
    <w:p w14:paraId="63B4E56E" w14:textId="77777777" w:rsidR="00B65A50" w:rsidRPr="00F041AD" w:rsidRDefault="00B65A50" w:rsidP="00F655E6">
      <w:pPr>
        <w:pStyle w:val="5BodyText"/>
        <w:numPr>
          <w:ilvl w:val="0"/>
          <w:numId w:val="64"/>
        </w:numPr>
        <w:rPr>
          <w:color w:val="333333" w:themeColor="background1"/>
        </w:rPr>
      </w:pPr>
      <w:r w:rsidRPr="00F041AD">
        <w:rPr>
          <w:color w:val="333333" w:themeColor="background1"/>
        </w:rPr>
        <w:t xml:space="preserve">Drive Electric Minnesota’s </w:t>
      </w:r>
      <w:hyperlink r:id="rId42" w:history="1">
        <w:r w:rsidRPr="00F041AD">
          <w:rPr>
            <w:rStyle w:val="Hyperlink"/>
            <w:color w:val="333333" w:themeColor="background1"/>
          </w:rPr>
          <w:t>Zero Emission Charging Challenge</w:t>
        </w:r>
      </w:hyperlink>
      <w:r w:rsidRPr="00F041AD">
        <w:rPr>
          <w:color w:val="333333" w:themeColor="background1"/>
        </w:rPr>
        <w:t xml:space="preserve"> aims to power all public charging stations with </w:t>
      </w:r>
      <w:proofErr w:type="spellStart"/>
      <w:r w:rsidRPr="00F041AD">
        <w:rPr>
          <w:color w:val="333333" w:themeColor="background1"/>
        </w:rPr>
        <w:t>Windsource</w:t>
      </w:r>
      <w:proofErr w:type="spellEnd"/>
      <w:r w:rsidRPr="00F041AD">
        <w:rPr>
          <w:color w:val="333333" w:themeColor="background1"/>
        </w:rPr>
        <w:t>® or solar generated electricity.</w:t>
      </w:r>
      <w:r w:rsidRPr="00F041AD">
        <w:rPr>
          <w:color w:val="333333" w:themeColor="background1"/>
          <w:vertAlign w:val="superscript"/>
        </w:rPr>
        <w:endnoteReference w:id="93"/>
      </w:r>
    </w:p>
    <w:p w14:paraId="2DD2A812" w14:textId="77777777" w:rsidR="00B65A50" w:rsidRPr="00F041AD" w:rsidRDefault="00B65A50" w:rsidP="00F655E6">
      <w:pPr>
        <w:pStyle w:val="5BodyText"/>
        <w:rPr>
          <w:color w:val="333333" w:themeColor="background1"/>
        </w:rPr>
      </w:pPr>
    </w:p>
    <w:p w14:paraId="05867EBA" w14:textId="77777777" w:rsidR="00B65A50" w:rsidRPr="00F041AD" w:rsidRDefault="00B65A50" w:rsidP="00F655E6">
      <w:pPr>
        <w:pStyle w:val="5BodyText"/>
        <w:numPr>
          <w:ilvl w:val="0"/>
          <w:numId w:val="64"/>
        </w:numPr>
        <w:rPr>
          <w:color w:val="333333" w:themeColor="background1"/>
        </w:rPr>
      </w:pPr>
      <w:r w:rsidRPr="00F041AD">
        <w:rPr>
          <w:color w:val="333333" w:themeColor="background1"/>
        </w:rPr>
        <w:t xml:space="preserve">Minnesota has a well-developed </w:t>
      </w:r>
      <w:hyperlink r:id="rId43" w:history="1">
        <w:r w:rsidRPr="00F041AD">
          <w:rPr>
            <w:rStyle w:val="Hyperlink"/>
            <w:color w:val="333333" w:themeColor="background1"/>
          </w:rPr>
          <w:t>public charging infrastructure</w:t>
        </w:r>
      </w:hyperlink>
      <w:r w:rsidRPr="00F041AD">
        <w:rPr>
          <w:color w:val="333333" w:themeColor="background1"/>
        </w:rPr>
        <w:t>, with 494 public EV charging outlets (including 283 Level-2 charging outlets) as of March 2016, according to the U.S. Department of Energy Alternative Fuels Data Center.</w:t>
      </w:r>
      <w:r w:rsidRPr="00F041AD">
        <w:rPr>
          <w:color w:val="333333" w:themeColor="background1"/>
          <w:vertAlign w:val="superscript"/>
        </w:rPr>
        <w:endnoteReference w:id="94"/>
      </w:r>
    </w:p>
    <w:p w14:paraId="13B8644A" w14:textId="77777777" w:rsidR="00B65A50" w:rsidRPr="00F041AD" w:rsidRDefault="00B65A50" w:rsidP="00F655E6">
      <w:pPr>
        <w:pStyle w:val="5BodyText"/>
        <w:rPr>
          <w:color w:val="333333" w:themeColor="background1"/>
        </w:rPr>
      </w:pPr>
    </w:p>
    <w:p w14:paraId="23EC1FA2" w14:textId="77777777" w:rsidR="00B65A50" w:rsidRPr="00F041AD" w:rsidRDefault="00B65A50" w:rsidP="00F655E6">
      <w:pPr>
        <w:pStyle w:val="5BodyText"/>
        <w:rPr>
          <w:b/>
          <w:i/>
          <w:color w:val="333333" w:themeColor="background1"/>
        </w:rPr>
      </w:pPr>
      <w:r w:rsidRPr="00F041AD">
        <w:rPr>
          <w:b/>
          <w:i/>
          <w:color w:val="333333" w:themeColor="background1"/>
        </w:rPr>
        <w:t>Other related resources:</w:t>
      </w:r>
    </w:p>
    <w:p w14:paraId="34865EE5" w14:textId="77777777" w:rsidR="00B65A50" w:rsidRPr="00F041AD" w:rsidRDefault="00B65A50" w:rsidP="00F655E6">
      <w:pPr>
        <w:pStyle w:val="5BodyText"/>
        <w:numPr>
          <w:ilvl w:val="0"/>
          <w:numId w:val="65"/>
        </w:numPr>
        <w:rPr>
          <w:color w:val="333333" w:themeColor="background1"/>
        </w:rPr>
      </w:pPr>
      <w:r w:rsidRPr="00F041AD">
        <w:rPr>
          <w:color w:val="333333" w:themeColor="background1"/>
        </w:rPr>
        <w:t xml:space="preserve">Recent bulk discount programs in Colorado have been successful in driving sales of electric vehicles including the </w:t>
      </w:r>
      <w:hyperlink r:id="rId44" w:history="1">
        <w:r w:rsidRPr="00F041AD">
          <w:rPr>
            <w:rStyle w:val="Hyperlink"/>
            <w:color w:val="333333" w:themeColor="background1"/>
          </w:rPr>
          <w:t>Nissan LEAF</w:t>
        </w:r>
      </w:hyperlink>
      <w:r w:rsidRPr="00F041AD">
        <w:rPr>
          <w:color w:val="333333" w:themeColor="background1"/>
        </w:rPr>
        <w:t xml:space="preserve"> and the </w:t>
      </w:r>
      <w:hyperlink r:id="rId45" w:history="1">
        <w:r w:rsidRPr="00F041AD">
          <w:rPr>
            <w:rStyle w:val="Hyperlink"/>
            <w:color w:val="333333" w:themeColor="background1"/>
          </w:rPr>
          <w:t>BMW i3</w:t>
        </w:r>
      </w:hyperlink>
      <w:r w:rsidRPr="00F041AD">
        <w:rPr>
          <w:color w:val="333333" w:themeColor="background1"/>
        </w:rPr>
        <w:t>.</w:t>
      </w:r>
      <w:r w:rsidRPr="00F041AD">
        <w:rPr>
          <w:color w:val="333333" w:themeColor="background1"/>
          <w:vertAlign w:val="superscript"/>
        </w:rPr>
        <w:endnoteReference w:id="95"/>
      </w:r>
      <w:r w:rsidRPr="00F041AD">
        <w:rPr>
          <w:color w:val="333333" w:themeColor="background1"/>
        </w:rPr>
        <w:t xml:space="preserve"> </w:t>
      </w:r>
      <w:r w:rsidRPr="00F041AD">
        <w:rPr>
          <w:color w:val="333333" w:themeColor="background1"/>
          <w:vertAlign w:val="superscript"/>
        </w:rPr>
        <w:endnoteReference w:id="96"/>
      </w:r>
      <w:r w:rsidRPr="00F041AD">
        <w:rPr>
          <w:color w:val="333333" w:themeColor="background1"/>
        </w:rPr>
        <w:br/>
      </w:r>
    </w:p>
    <w:p w14:paraId="0F6706D9" w14:textId="77777777" w:rsidR="00B65A50" w:rsidRPr="00F041AD" w:rsidRDefault="00B65A50" w:rsidP="00F655E6">
      <w:pPr>
        <w:pStyle w:val="5BodyText"/>
        <w:rPr>
          <w:color w:val="333333" w:themeColor="background1"/>
        </w:rPr>
      </w:pPr>
      <w:bookmarkStart w:id="122" w:name="h.ywv99e6ceff9" w:colFirst="0" w:colLast="0"/>
      <w:bookmarkStart w:id="123" w:name="h.v8p7tp2lkaq" w:colFirst="0" w:colLast="0"/>
      <w:bookmarkStart w:id="124" w:name="_Toc318126160"/>
      <w:bookmarkStart w:id="125" w:name="_Toc319794265"/>
      <w:bookmarkEnd w:id="122"/>
      <w:bookmarkEnd w:id="123"/>
    </w:p>
    <w:p w14:paraId="7E7E6914" w14:textId="4767C022" w:rsidR="00B65A50" w:rsidRPr="00F041AD" w:rsidRDefault="00725676" w:rsidP="004C45CB">
      <w:pPr>
        <w:pStyle w:val="StrategyName"/>
      </w:pPr>
      <w:bookmarkStart w:id="126" w:name="_Toc322961624"/>
      <w:bookmarkStart w:id="127" w:name="_Toc322962033"/>
      <w:bookmarkStart w:id="128" w:name="_Toc322962220"/>
      <w:r>
        <w:t>A2</w:t>
      </w:r>
      <w:r w:rsidR="00B65A50" w:rsidRPr="00F041AD">
        <w:t>. Electrify fleet vehicle</w:t>
      </w:r>
      <w:bookmarkEnd w:id="124"/>
      <w:r w:rsidR="00B65A50" w:rsidRPr="00F041AD">
        <w:t>s</w:t>
      </w:r>
      <w:bookmarkEnd w:id="125"/>
      <w:bookmarkEnd w:id="126"/>
      <w:bookmarkEnd w:id="127"/>
      <w:bookmarkEnd w:id="128"/>
    </w:p>
    <w:p w14:paraId="52921196" w14:textId="77777777" w:rsidR="00B65A50" w:rsidRPr="00F041AD" w:rsidRDefault="00B65A50" w:rsidP="00F655E6">
      <w:pPr>
        <w:pStyle w:val="5BodyText"/>
        <w:rPr>
          <w:color w:val="333333" w:themeColor="background1"/>
        </w:rPr>
      </w:pPr>
    </w:p>
    <w:p w14:paraId="48B981EE" w14:textId="77777777" w:rsidR="00B65A50" w:rsidRPr="00F041AD" w:rsidRDefault="00B65A50" w:rsidP="00F655E6">
      <w:pPr>
        <w:pStyle w:val="5BodyText"/>
        <w:rPr>
          <w:b/>
          <w:i/>
          <w:color w:val="333333" w:themeColor="background1"/>
        </w:rPr>
      </w:pPr>
      <w:r w:rsidRPr="00F041AD">
        <w:rPr>
          <w:b/>
          <w:i/>
          <w:color w:val="333333" w:themeColor="background1"/>
        </w:rPr>
        <w:lastRenderedPageBreak/>
        <w:t>Strategy overview</w:t>
      </w:r>
    </w:p>
    <w:p w14:paraId="0FBA6A85" w14:textId="5DB20572" w:rsidR="00B65A50" w:rsidRPr="00F041AD" w:rsidRDefault="00B65A50" w:rsidP="00F655E6">
      <w:pPr>
        <w:pStyle w:val="5BodyText"/>
        <w:rPr>
          <w:color w:val="333333" w:themeColor="background1"/>
        </w:rPr>
      </w:pPr>
      <w:r w:rsidRPr="00F041AD">
        <w:rPr>
          <w:color w:val="333333" w:themeColor="background1"/>
        </w:rPr>
        <w:t>Light duty vehicle (LDV) fleets, defined as all non-personal LDVs, make up approximately five percent of VMT nationwide,</w:t>
      </w:r>
      <w:r w:rsidRPr="00F041AD">
        <w:rPr>
          <w:rStyle w:val="EndnoteReference"/>
          <w:color w:val="333333" w:themeColor="background1"/>
        </w:rPr>
        <w:endnoteReference w:id="97"/>
      </w:r>
      <w:r w:rsidRPr="00F041AD">
        <w:rPr>
          <w:color w:val="333333" w:themeColor="background1"/>
        </w:rPr>
        <w:t xml:space="preserve"> with a similar share likely present in Minnesota. Fleet owners and operators are good leverage points for increasing EV adoption, because a single decision can affect multiple vehicles. However, fleet operators tend to choose cars with a balance of low purchase price and low total cost of ownership, which has commonly resulted in fleets composed of standard gasoline-fueled sedans. But with more electric vehicles entering the market it is increasingly feasible for the lowest-cost option to be an EV for certain use cases. High utilization rates, for instance, mean EVs’ low operating costs can overcome a purchase price premium (see </w:t>
      </w:r>
      <w:r w:rsidRPr="00F041AD">
        <w:rPr>
          <w:color w:val="333333" w:themeColor="background1"/>
        </w:rPr>
        <w:fldChar w:fldCharType="begin"/>
      </w:r>
      <w:r w:rsidRPr="00F041AD">
        <w:rPr>
          <w:color w:val="333333" w:themeColor="background1"/>
        </w:rPr>
        <w:instrText xml:space="preserve"> REF _Ref322856701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Figure </w:t>
      </w:r>
      <w:r w:rsidR="00171E58">
        <w:rPr>
          <w:noProof/>
          <w:color w:val="333333" w:themeColor="background1"/>
        </w:rPr>
        <w:t>14</w:t>
      </w:r>
      <w:r w:rsidRPr="00F041AD">
        <w:rPr>
          <w:color w:val="333333" w:themeColor="background1"/>
        </w:rPr>
        <w:fldChar w:fldCharType="end"/>
      </w:r>
      <w:r w:rsidRPr="00F041AD">
        <w:rPr>
          <w:color w:val="333333" w:themeColor="background1"/>
        </w:rPr>
        <w:t xml:space="preserve"> below). Predictable and consistent driving patterns mean it is easy to choose the right vehicle (e.g. a short-range EV) that matches the needs of a particular fleet; and central parking infrastructure common to fleets allows for consolidated charging infrastructure. </w:t>
      </w:r>
    </w:p>
    <w:p w14:paraId="7D9528BC" w14:textId="77777777" w:rsidR="00B65A50" w:rsidRPr="00F041AD" w:rsidRDefault="00B65A50" w:rsidP="00F655E6">
      <w:pPr>
        <w:pStyle w:val="5BodyText"/>
        <w:rPr>
          <w:color w:val="333333" w:themeColor="background1"/>
        </w:rPr>
      </w:pPr>
    </w:p>
    <w:p w14:paraId="5E48ABE2" w14:textId="4B527CFA" w:rsidR="00B65A50" w:rsidRPr="00F041AD" w:rsidRDefault="00B65A50" w:rsidP="00F655E6">
      <w:pPr>
        <w:pStyle w:val="7Caption"/>
        <w:rPr>
          <w:color w:val="333333" w:themeColor="background1"/>
        </w:rPr>
      </w:pPr>
      <w:bookmarkStart w:id="129" w:name="_Ref322856701"/>
      <w:bookmarkStart w:id="130" w:name="_Toc322958523"/>
      <w:r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14</w:t>
      </w:r>
      <w:r w:rsidR="0010025D" w:rsidRPr="00F041AD">
        <w:rPr>
          <w:noProof/>
          <w:color w:val="333333" w:themeColor="background1"/>
        </w:rPr>
        <w:fldChar w:fldCharType="end"/>
      </w:r>
      <w:bookmarkEnd w:id="129"/>
      <w:r w:rsidR="005C4F4F" w:rsidRPr="00F041AD">
        <w:rPr>
          <w:noProof/>
          <w:color w:val="333333" w:themeColor="background1"/>
        </w:rPr>
        <w:t>:</w:t>
      </w:r>
      <w:r w:rsidRPr="00F041AD">
        <w:rPr>
          <w:color w:val="333333" w:themeColor="background1"/>
        </w:rPr>
        <w:t xml:space="preserve"> Total cost of ownership of conventional ICE vehicle versus electric vehicle at different levels of annual mileage.</w:t>
      </w:r>
      <w:bookmarkEnd w:id="130"/>
      <w:r w:rsidRPr="00F041AD">
        <w:rPr>
          <w:color w:val="333333" w:themeColor="background1"/>
        </w:rPr>
        <w:t xml:space="preserve"> </w:t>
      </w:r>
    </w:p>
    <w:p w14:paraId="24F6D30C" w14:textId="77777777" w:rsidR="00B65A50" w:rsidRPr="00F041AD" w:rsidRDefault="00B65A50" w:rsidP="00F655E6">
      <w:pPr>
        <w:pStyle w:val="5BodyText"/>
        <w:rPr>
          <w:color w:val="333333" w:themeColor="background1"/>
        </w:rPr>
      </w:pPr>
      <w:r w:rsidRPr="00F041AD">
        <w:rPr>
          <w:color w:val="333333" w:themeColor="background1"/>
        </w:rPr>
        <w:t xml:space="preserve"> </w:t>
      </w:r>
    </w:p>
    <w:p w14:paraId="2C0B33F3" w14:textId="77777777" w:rsidR="00B65A50" w:rsidRPr="00F041AD" w:rsidRDefault="00B65A50" w:rsidP="00F655E6">
      <w:pPr>
        <w:pStyle w:val="5BodyText"/>
        <w:rPr>
          <w:color w:val="333333" w:themeColor="background1"/>
        </w:rPr>
      </w:pPr>
      <w:r w:rsidRPr="00F041AD">
        <w:rPr>
          <w:noProof/>
          <w:color w:val="333333" w:themeColor="background1"/>
          <w:lang w:eastAsia="en-US"/>
        </w:rPr>
        <w:drawing>
          <wp:inline distT="0" distB="0" distL="0" distR="0" wp14:anchorId="21F32010" wp14:editId="0721D35E">
            <wp:extent cx="5309235" cy="3064225"/>
            <wp:effectExtent l="0" t="0" r="0" b="9525"/>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09849" cy="3064579"/>
                    </a:xfrm>
                    <a:prstGeom prst="rect">
                      <a:avLst/>
                    </a:prstGeom>
                    <a:noFill/>
                    <a:ln>
                      <a:noFill/>
                    </a:ln>
                  </pic:spPr>
                </pic:pic>
              </a:graphicData>
            </a:graphic>
          </wp:inline>
        </w:drawing>
      </w:r>
    </w:p>
    <w:p w14:paraId="44D4BAC8" w14:textId="77777777" w:rsidR="00B65A50" w:rsidRPr="00F041AD" w:rsidRDefault="00B65A50" w:rsidP="00F655E6">
      <w:pPr>
        <w:pStyle w:val="5BodyText"/>
        <w:rPr>
          <w:color w:val="333333" w:themeColor="background1"/>
          <w:sz w:val="18"/>
        </w:rPr>
      </w:pPr>
      <w:r w:rsidRPr="00F041AD">
        <w:rPr>
          <w:color w:val="333333" w:themeColor="background1"/>
          <w:sz w:val="18"/>
        </w:rPr>
        <w:t>Source: Prepared by GPI using data from Edison Electric Institute, Electrification: Utility Fleets Leading the Charge. June, 2014.</w:t>
      </w:r>
    </w:p>
    <w:p w14:paraId="300E6BC4" w14:textId="77777777" w:rsidR="00B65A50" w:rsidRPr="00F041AD" w:rsidRDefault="00B65A50" w:rsidP="00F655E6">
      <w:pPr>
        <w:pStyle w:val="5BodyText"/>
        <w:rPr>
          <w:color w:val="333333" w:themeColor="background1"/>
        </w:rPr>
      </w:pPr>
    </w:p>
    <w:p w14:paraId="34490144" w14:textId="77777777" w:rsidR="00B65A50" w:rsidRPr="00F041AD" w:rsidRDefault="00B65A50" w:rsidP="00F655E6">
      <w:pPr>
        <w:pStyle w:val="5BodyText"/>
        <w:rPr>
          <w:color w:val="333333" w:themeColor="background1"/>
        </w:rPr>
      </w:pPr>
      <w:r w:rsidRPr="00F041AD">
        <w:rPr>
          <w:color w:val="333333" w:themeColor="background1"/>
        </w:rPr>
        <w:t>As a result of these potential benefits, some fleet owners and operators across the country are evaluating and choosing EVs. This strategy lays out the steps for fleet decision makers in Minnesota to evaluate EVs and increase adoption.</w:t>
      </w:r>
    </w:p>
    <w:p w14:paraId="6FC256FB" w14:textId="77777777" w:rsidR="00B65A50" w:rsidRPr="00F041AD" w:rsidRDefault="00B65A50" w:rsidP="00F655E6">
      <w:pPr>
        <w:pStyle w:val="5BodyText"/>
        <w:rPr>
          <w:color w:val="333333" w:themeColor="background1"/>
        </w:rPr>
      </w:pPr>
    </w:p>
    <w:p w14:paraId="0D8FCDC1" w14:textId="77777777" w:rsidR="00B65A50" w:rsidRPr="00F041AD" w:rsidRDefault="00B65A50" w:rsidP="00F655E6">
      <w:pPr>
        <w:pStyle w:val="5BodyText"/>
        <w:rPr>
          <w:color w:val="333333" w:themeColor="background1"/>
        </w:rPr>
      </w:pPr>
    </w:p>
    <w:p w14:paraId="60D50E3F" w14:textId="77777777" w:rsidR="00B65A50" w:rsidRPr="00F041AD" w:rsidRDefault="00B65A50" w:rsidP="00F655E6">
      <w:pPr>
        <w:pStyle w:val="5BodyText"/>
        <w:rPr>
          <w:b/>
          <w:i/>
          <w:color w:val="333333" w:themeColor="background1"/>
        </w:rPr>
      </w:pPr>
      <w:r w:rsidRPr="00F041AD">
        <w:rPr>
          <w:b/>
          <w:i/>
          <w:color w:val="333333" w:themeColor="background1"/>
        </w:rPr>
        <w:lastRenderedPageBreak/>
        <w:t>Specific actions for strategy implementation</w:t>
      </w:r>
    </w:p>
    <w:p w14:paraId="68907C5F" w14:textId="77777777" w:rsidR="00B65A50" w:rsidRPr="00F041AD" w:rsidRDefault="00B65A50" w:rsidP="00F655E6">
      <w:pPr>
        <w:pStyle w:val="5BodyText"/>
        <w:rPr>
          <w:color w:val="333333" w:themeColor="background1"/>
        </w:rPr>
      </w:pPr>
    </w:p>
    <w:p w14:paraId="0A004186" w14:textId="77777777" w:rsidR="00B65A50" w:rsidRPr="00F041AD" w:rsidRDefault="00B65A50" w:rsidP="00965551">
      <w:pPr>
        <w:pStyle w:val="5BodyText"/>
        <w:numPr>
          <w:ilvl w:val="0"/>
          <w:numId w:val="168"/>
        </w:numPr>
        <w:rPr>
          <w:color w:val="333333" w:themeColor="background1"/>
        </w:rPr>
      </w:pPr>
      <w:r w:rsidRPr="00F041AD">
        <w:rPr>
          <w:b/>
          <w:color w:val="333333" w:themeColor="background1"/>
        </w:rPr>
        <w:t>Increase EV purchasing in public and private fleets, where cost-effective.</w:t>
      </w:r>
      <w:r w:rsidRPr="00F041AD">
        <w:rPr>
          <w:color w:val="333333" w:themeColor="background1"/>
        </w:rPr>
        <w:t xml:space="preserve"> Some fleets, especially those with high-mileage vehicles like taxis, are likely to see an immediate financial gain from switching to EVs. Other fleets, such as those with low-mileage vehicles or vehicles driven for long distances at a time, may not see as compelling of a financial case to invest in EVs at current vehicle prices and with current ranges. In both cases, in may be possible to further improve the economics of EVs by setting up a bulk purchasing arrangement, potentially in coordination with the state, to help reduce the upfront cost of EVs.</w:t>
      </w:r>
      <w:r w:rsidRPr="00F041AD">
        <w:rPr>
          <w:b/>
          <w:color w:val="333333" w:themeColor="background1"/>
        </w:rPr>
        <w:t xml:space="preserve"> </w:t>
      </w:r>
    </w:p>
    <w:p w14:paraId="46DE7291" w14:textId="77777777" w:rsidR="00B65A50" w:rsidRPr="00F041AD" w:rsidRDefault="00B65A50" w:rsidP="00F655E6">
      <w:pPr>
        <w:pStyle w:val="5BodyText"/>
        <w:ind w:left="720"/>
        <w:rPr>
          <w:color w:val="333333" w:themeColor="background1"/>
        </w:rPr>
      </w:pPr>
    </w:p>
    <w:p w14:paraId="5EDE0A0D" w14:textId="77777777" w:rsidR="00B65A50" w:rsidRPr="00F041AD" w:rsidRDefault="00B65A50" w:rsidP="00F655E6">
      <w:pPr>
        <w:pStyle w:val="5BodyText"/>
        <w:ind w:left="720"/>
        <w:rPr>
          <w:color w:val="333333" w:themeColor="background1"/>
        </w:rPr>
      </w:pPr>
      <w:r w:rsidRPr="00F041AD">
        <w:rPr>
          <w:b/>
          <w:color w:val="333333" w:themeColor="background1"/>
        </w:rPr>
        <w:t xml:space="preserve">Champions/Key Participants: </w:t>
      </w:r>
    </w:p>
    <w:p w14:paraId="07348BB6" w14:textId="77777777" w:rsidR="00B65A50" w:rsidRPr="00F041AD" w:rsidRDefault="00B65A50" w:rsidP="00F655E6">
      <w:pPr>
        <w:pStyle w:val="5BodyText"/>
        <w:ind w:left="720"/>
        <w:rPr>
          <w:color w:val="333333" w:themeColor="background1"/>
        </w:rPr>
      </w:pPr>
      <w:r w:rsidRPr="00F041AD">
        <w:rPr>
          <w:color w:val="333333" w:themeColor="background1"/>
          <w:sz w:val="22"/>
        </w:rPr>
        <w:t xml:space="preserve">- </w:t>
      </w:r>
      <w:r w:rsidRPr="00F041AD">
        <w:rPr>
          <w:color w:val="333333" w:themeColor="background1"/>
        </w:rPr>
        <w:t>Drive Electric Minnesota</w:t>
      </w:r>
    </w:p>
    <w:p w14:paraId="05E089AE" w14:textId="77777777" w:rsidR="00B65A50" w:rsidRPr="00F041AD" w:rsidRDefault="00B65A50" w:rsidP="00F655E6">
      <w:pPr>
        <w:pStyle w:val="5BodyText"/>
        <w:ind w:left="720"/>
        <w:rPr>
          <w:color w:val="333333" w:themeColor="background1"/>
        </w:rPr>
      </w:pPr>
      <w:r w:rsidRPr="00F041AD">
        <w:rPr>
          <w:color w:val="333333" w:themeColor="background1"/>
        </w:rPr>
        <w:t>- Minnesota Department of Administration</w:t>
      </w:r>
    </w:p>
    <w:p w14:paraId="2C2B4250" w14:textId="77777777" w:rsidR="00965551" w:rsidRPr="00F041AD" w:rsidRDefault="00965551" w:rsidP="00965551">
      <w:pPr>
        <w:pStyle w:val="5BodyText"/>
        <w:rPr>
          <w:color w:val="333333" w:themeColor="background1"/>
        </w:rPr>
      </w:pPr>
    </w:p>
    <w:p w14:paraId="5439C34A" w14:textId="77777777" w:rsidR="00B65A50" w:rsidRPr="00F041AD" w:rsidRDefault="00B65A50" w:rsidP="00965551">
      <w:pPr>
        <w:pStyle w:val="5BodyText"/>
        <w:numPr>
          <w:ilvl w:val="0"/>
          <w:numId w:val="168"/>
        </w:numPr>
        <w:rPr>
          <w:color w:val="333333" w:themeColor="background1"/>
        </w:rPr>
      </w:pPr>
      <w:r w:rsidRPr="00F041AD">
        <w:rPr>
          <w:b/>
          <w:color w:val="333333" w:themeColor="background1"/>
        </w:rPr>
        <w:t>Convene workshop</w:t>
      </w:r>
      <w:r w:rsidRPr="00F041AD">
        <w:rPr>
          <w:color w:val="333333" w:themeColor="background1"/>
        </w:rPr>
        <w:t xml:space="preserve"> </w:t>
      </w:r>
      <w:r w:rsidRPr="00F041AD">
        <w:rPr>
          <w:b/>
          <w:color w:val="333333" w:themeColor="background1"/>
        </w:rPr>
        <w:t>on EV procurement.</w:t>
      </w:r>
      <w:r w:rsidRPr="00F041AD">
        <w:rPr>
          <w:color w:val="333333" w:themeColor="background1"/>
        </w:rPr>
        <w:t xml:space="preserve"> The workshop would focus on best practices for increasing EVs in fleets. Attendees could include private and public sector fleet managers, fleet service providers, as well as representatives from fleets with EVs from across the county. Workshop participants may develop clear commitments and next steps for the group to further evaluate, test, and ultimately roll out EVs where cost-effective.</w:t>
      </w:r>
      <w:r w:rsidRPr="00F041AD">
        <w:rPr>
          <w:b/>
          <w:color w:val="333333" w:themeColor="background1"/>
        </w:rPr>
        <w:t xml:space="preserve"> </w:t>
      </w:r>
      <w:r w:rsidRPr="00F041AD">
        <w:rPr>
          <w:b/>
          <w:color w:val="333333" w:themeColor="background1"/>
        </w:rPr>
        <w:br/>
      </w:r>
      <w:r w:rsidRPr="00F041AD">
        <w:rPr>
          <w:b/>
          <w:color w:val="333333" w:themeColor="background1"/>
        </w:rPr>
        <w:br/>
        <w:t xml:space="preserve">Champions/Key Participants: </w:t>
      </w:r>
    </w:p>
    <w:p w14:paraId="4705C4CD" w14:textId="77777777" w:rsidR="00B65A50" w:rsidRPr="00F041AD" w:rsidRDefault="00B65A50" w:rsidP="00F655E6">
      <w:pPr>
        <w:pStyle w:val="5BodyText"/>
        <w:ind w:left="720"/>
        <w:rPr>
          <w:color w:val="333333" w:themeColor="background1"/>
          <w:szCs w:val="20"/>
        </w:rPr>
      </w:pPr>
      <w:r w:rsidRPr="00F041AD">
        <w:rPr>
          <w:color w:val="333333" w:themeColor="background1"/>
          <w:szCs w:val="20"/>
        </w:rPr>
        <w:t>- Minnesota Pollution Control Agency could help convene workshop</w:t>
      </w:r>
    </w:p>
    <w:p w14:paraId="435BBAEC" w14:textId="77777777" w:rsidR="00B65A50" w:rsidRPr="00F041AD" w:rsidRDefault="00B65A50" w:rsidP="00F655E6">
      <w:pPr>
        <w:pStyle w:val="5BodyText"/>
        <w:ind w:left="720"/>
        <w:rPr>
          <w:color w:val="333333" w:themeColor="background1"/>
        </w:rPr>
      </w:pPr>
      <w:r w:rsidRPr="00F041AD">
        <w:rPr>
          <w:color w:val="333333" w:themeColor="background1"/>
          <w:sz w:val="22"/>
        </w:rPr>
        <w:t xml:space="preserve">- </w:t>
      </w:r>
      <w:proofErr w:type="spellStart"/>
      <w:r w:rsidRPr="00F041AD">
        <w:rPr>
          <w:color w:val="333333" w:themeColor="background1"/>
        </w:rPr>
        <w:t>GreenStep</w:t>
      </w:r>
      <w:proofErr w:type="spellEnd"/>
      <w:r w:rsidRPr="00F041AD">
        <w:rPr>
          <w:color w:val="333333" w:themeColor="background1"/>
        </w:rPr>
        <w:t xml:space="preserve"> Cities could help include local governments in the workshop</w:t>
      </w:r>
    </w:p>
    <w:p w14:paraId="311ED065" w14:textId="77777777" w:rsidR="00B65A50" w:rsidRPr="00F041AD" w:rsidRDefault="00B65A50" w:rsidP="00F655E6">
      <w:pPr>
        <w:pStyle w:val="5BodyText"/>
        <w:rPr>
          <w:color w:val="333333" w:themeColor="background1"/>
        </w:rPr>
      </w:pPr>
    </w:p>
    <w:p w14:paraId="062D724F" w14:textId="77777777" w:rsidR="00B65A50" w:rsidRPr="00F041AD" w:rsidRDefault="00B65A50" w:rsidP="00F655E6">
      <w:pPr>
        <w:pStyle w:val="5BodyText"/>
        <w:rPr>
          <w:b/>
          <w:i/>
          <w:color w:val="333333" w:themeColor="background1"/>
        </w:rPr>
      </w:pPr>
      <w:r w:rsidRPr="00F041AD">
        <w:rPr>
          <w:b/>
          <w:i/>
          <w:color w:val="333333" w:themeColor="background1"/>
        </w:rPr>
        <w:t>Success factors</w:t>
      </w:r>
    </w:p>
    <w:p w14:paraId="1886FC58" w14:textId="77777777" w:rsidR="00B65A50" w:rsidRPr="00F041AD" w:rsidRDefault="00B65A50" w:rsidP="00F655E6">
      <w:pPr>
        <w:pStyle w:val="5BodyText"/>
        <w:numPr>
          <w:ilvl w:val="0"/>
          <w:numId w:val="67"/>
        </w:numPr>
        <w:rPr>
          <w:color w:val="333333" w:themeColor="background1"/>
        </w:rPr>
      </w:pPr>
      <w:r w:rsidRPr="00F041AD">
        <w:rPr>
          <w:b/>
          <w:color w:val="333333" w:themeColor="background1"/>
        </w:rPr>
        <w:t>A financial case exists for EVs in a fleet context.</w:t>
      </w:r>
      <w:r w:rsidRPr="00F041AD">
        <w:rPr>
          <w:color w:val="333333" w:themeColor="background1"/>
        </w:rPr>
        <w:t xml:space="preserve"> Despite additional upfront costs, electric vehicles can be less expensive on a lifecycle basis than conventional vehicles, due to lower fuel costs, reduced operations and maintenance costs, and longer lifecycles.  With current vehicle prices, this may only apply to a small portion of fleets, however as EV purchase prices decline, it is likely that more fleets will include EVs.</w:t>
      </w:r>
    </w:p>
    <w:p w14:paraId="0D8B85ED" w14:textId="77777777" w:rsidR="00B65A50" w:rsidRPr="00F041AD" w:rsidRDefault="00B65A50" w:rsidP="00F655E6">
      <w:pPr>
        <w:pStyle w:val="5BodyText"/>
        <w:numPr>
          <w:ilvl w:val="0"/>
          <w:numId w:val="67"/>
        </w:numPr>
        <w:rPr>
          <w:color w:val="333333" w:themeColor="background1"/>
        </w:rPr>
      </w:pPr>
      <w:r w:rsidRPr="00F041AD">
        <w:rPr>
          <w:b/>
          <w:color w:val="333333" w:themeColor="background1"/>
        </w:rPr>
        <w:t xml:space="preserve">Major operational challenges are overcome. </w:t>
      </w:r>
      <w:r w:rsidRPr="00F041AD">
        <w:rPr>
          <w:color w:val="333333" w:themeColor="background1"/>
        </w:rPr>
        <w:t>Concerns including range limitations, charging time, etc. are important to the operation of fleet vehicles, and can be overcome to enable large scale adoption.</w:t>
      </w:r>
    </w:p>
    <w:p w14:paraId="3C9D934A" w14:textId="77777777" w:rsidR="00B65A50" w:rsidRPr="00F041AD" w:rsidRDefault="00B65A50" w:rsidP="00F655E6">
      <w:pPr>
        <w:pStyle w:val="5BodyText"/>
        <w:rPr>
          <w:color w:val="333333" w:themeColor="background1"/>
        </w:rPr>
      </w:pPr>
    </w:p>
    <w:p w14:paraId="04284E96" w14:textId="77777777" w:rsidR="00B65A50" w:rsidRPr="00F041AD" w:rsidRDefault="00B65A50" w:rsidP="00F655E6">
      <w:pPr>
        <w:pStyle w:val="5BodyText"/>
        <w:rPr>
          <w:b/>
          <w:i/>
          <w:color w:val="333333" w:themeColor="background1"/>
        </w:rPr>
      </w:pPr>
      <w:r w:rsidRPr="00F041AD">
        <w:rPr>
          <w:b/>
          <w:i/>
          <w:color w:val="333333" w:themeColor="background1"/>
        </w:rPr>
        <w:t>Indicators of strategy success</w:t>
      </w:r>
    </w:p>
    <w:p w14:paraId="195B75A9" w14:textId="77777777" w:rsidR="00B65A50" w:rsidRPr="00F041AD" w:rsidRDefault="00B65A50" w:rsidP="00F655E6">
      <w:pPr>
        <w:pStyle w:val="5BodyText"/>
        <w:numPr>
          <w:ilvl w:val="0"/>
          <w:numId w:val="68"/>
        </w:numPr>
        <w:rPr>
          <w:color w:val="333333" w:themeColor="background1"/>
        </w:rPr>
      </w:pPr>
      <w:r w:rsidRPr="00F041AD">
        <w:rPr>
          <w:color w:val="333333" w:themeColor="background1"/>
        </w:rPr>
        <w:t>Electric vehicle miles in Minnesota (percent of total fleet miles)</w:t>
      </w:r>
    </w:p>
    <w:p w14:paraId="64BD8B77" w14:textId="77777777" w:rsidR="00B65A50" w:rsidRPr="00F041AD" w:rsidRDefault="00B65A50" w:rsidP="00F655E6">
      <w:pPr>
        <w:pStyle w:val="5BodyText"/>
        <w:numPr>
          <w:ilvl w:val="0"/>
          <w:numId w:val="68"/>
        </w:numPr>
        <w:rPr>
          <w:color w:val="333333" w:themeColor="background1"/>
        </w:rPr>
      </w:pPr>
      <w:r w:rsidRPr="00F041AD">
        <w:rPr>
          <w:color w:val="333333" w:themeColor="background1"/>
        </w:rPr>
        <w:lastRenderedPageBreak/>
        <w:t>Petroleum saved (barrels of oil equivalent)</w:t>
      </w:r>
    </w:p>
    <w:p w14:paraId="569C417A" w14:textId="77777777" w:rsidR="00B65A50" w:rsidRPr="00F041AD" w:rsidRDefault="00B65A50" w:rsidP="00F655E6">
      <w:pPr>
        <w:pStyle w:val="5BodyText"/>
        <w:numPr>
          <w:ilvl w:val="0"/>
          <w:numId w:val="68"/>
        </w:numPr>
        <w:rPr>
          <w:color w:val="333333" w:themeColor="background1"/>
        </w:rPr>
      </w:pPr>
      <w:r w:rsidRPr="00F041AD">
        <w:rPr>
          <w:color w:val="333333" w:themeColor="background1"/>
        </w:rPr>
        <w:t>Cost savings due to energy savings and operational savings (dollars)</w:t>
      </w:r>
    </w:p>
    <w:p w14:paraId="4388B8B7" w14:textId="77777777" w:rsidR="00B65A50" w:rsidRPr="00F041AD" w:rsidRDefault="00B65A50" w:rsidP="00F655E6">
      <w:pPr>
        <w:pStyle w:val="5BodyText"/>
        <w:rPr>
          <w:color w:val="333333" w:themeColor="background1"/>
        </w:rPr>
      </w:pPr>
    </w:p>
    <w:p w14:paraId="6F2324B0" w14:textId="77777777" w:rsidR="00B65A50" w:rsidRPr="00F041AD" w:rsidRDefault="00B65A50" w:rsidP="00F655E6">
      <w:pPr>
        <w:pStyle w:val="5BodyText"/>
        <w:rPr>
          <w:b/>
          <w:i/>
          <w:color w:val="333333" w:themeColor="background1"/>
        </w:rPr>
      </w:pPr>
      <w:r w:rsidRPr="00F041AD">
        <w:rPr>
          <w:b/>
          <w:i/>
          <w:color w:val="333333" w:themeColor="background1"/>
        </w:rPr>
        <w:t>Cross-sector opportunities and synergies</w:t>
      </w:r>
    </w:p>
    <w:p w14:paraId="32435678" w14:textId="77777777" w:rsidR="00B65A50" w:rsidRPr="00F041AD" w:rsidRDefault="00B65A50" w:rsidP="00F655E6">
      <w:pPr>
        <w:pStyle w:val="5BodyText"/>
        <w:numPr>
          <w:ilvl w:val="0"/>
          <w:numId w:val="69"/>
        </w:numPr>
        <w:rPr>
          <w:color w:val="333333" w:themeColor="background1"/>
        </w:rPr>
      </w:pPr>
      <w:r w:rsidRPr="00F041AD">
        <w:rPr>
          <w:b/>
          <w:color w:val="333333" w:themeColor="background1"/>
        </w:rPr>
        <w:t>Green power options</w:t>
      </w:r>
      <w:r w:rsidRPr="00F041AD">
        <w:rPr>
          <w:color w:val="333333" w:themeColor="background1"/>
        </w:rPr>
        <w:t xml:space="preserve"> allow EV fleets to charge with renewable energy.</w:t>
      </w:r>
    </w:p>
    <w:p w14:paraId="5C590E09" w14:textId="77777777" w:rsidR="00B65A50" w:rsidRPr="00F041AD" w:rsidRDefault="00B65A50" w:rsidP="00F655E6">
      <w:pPr>
        <w:pStyle w:val="5BodyText"/>
        <w:numPr>
          <w:ilvl w:val="0"/>
          <w:numId w:val="69"/>
        </w:numPr>
        <w:rPr>
          <w:color w:val="333333" w:themeColor="background1"/>
        </w:rPr>
      </w:pPr>
      <w:r w:rsidRPr="00F041AD">
        <w:rPr>
          <w:b/>
          <w:color w:val="333333" w:themeColor="background1"/>
        </w:rPr>
        <w:t xml:space="preserve">Time-varying electricity pricing </w:t>
      </w:r>
      <w:r w:rsidRPr="00F041AD">
        <w:rPr>
          <w:color w:val="333333" w:themeColor="background1"/>
        </w:rPr>
        <w:t>could incent fleet operators to charge EVs during off-peak hours at a discounted rate.</w:t>
      </w:r>
    </w:p>
    <w:p w14:paraId="5F7C644E" w14:textId="77777777" w:rsidR="00B65A50" w:rsidRPr="00F041AD" w:rsidRDefault="00B65A50" w:rsidP="00F655E6">
      <w:pPr>
        <w:pStyle w:val="5BodyText"/>
        <w:numPr>
          <w:ilvl w:val="0"/>
          <w:numId w:val="69"/>
        </w:numPr>
        <w:rPr>
          <w:color w:val="333333" w:themeColor="background1"/>
        </w:rPr>
      </w:pPr>
      <w:r w:rsidRPr="00F041AD">
        <w:rPr>
          <w:color w:val="333333" w:themeColor="background1"/>
        </w:rPr>
        <w:t xml:space="preserve">Large numbers of EVs can be used for </w:t>
      </w:r>
      <w:r w:rsidRPr="00F041AD">
        <w:rPr>
          <w:b/>
          <w:color w:val="333333" w:themeColor="background1"/>
        </w:rPr>
        <w:t>energy storage and/or demand response</w:t>
      </w:r>
      <w:r w:rsidRPr="00F041AD">
        <w:rPr>
          <w:color w:val="333333" w:themeColor="background1"/>
        </w:rPr>
        <w:t xml:space="preserve"> to improve grid operations.</w:t>
      </w:r>
      <w:r w:rsidRPr="00F041AD" w:rsidDel="00022B0D">
        <w:rPr>
          <w:color w:val="333333" w:themeColor="background1"/>
        </w:rPr>
        <w:t xml:space="preserve"> </w:t>
      </w:r>
    </w:p>
    <w:p w14:paraId="4220F9E6" w14:textId="77777777" w:rsidR="00B65A50" w:rsidRPr="00F041AD" w:rsidRDefault="00B65A50" w:rsidP="00F655E6">
      <w:pPr>
        <w:pStyle w:val="5BodyText"/>
        <w:rPr>
          <w:color w:val="333333" w:themeColor="background1"/>
        </w:rPr>
      </w:pPr>
    </w:p>
    <w:p w14:paraId="061FC62C" w14:textId="77777777" w:rsidR="00B65A50" w:rsidRPr="00F041AD" w:rsidRDefault="00B65A50" w:rsidP="00F655E6">
      <w:pPr>
        <w:pStyle w:val="5BodyText"/>
        <w:rPr>
          <w:b/>
          <w:i/>
          <w:color w:val="333333" w:themeColor="background1"/>
        </w:rPr>
      </w:pPr>
      <w:r w:rsidRPr="00F041AD">
        <w:rPr>
          <w:b/>
          <w:i/>
          <w:color w:val="333333" w:themeColor="background1"/>
        </w:rPr>
        <w:t>Ongoing Minnesota initiatives</w:t>
      </w:r>
    </w:p>
    <w:p w14:paraId="0C0242C1" w14:textId="77777777" w:rsidR="00B65A50" w:rsidRPr="00F041AD" w:rsidRDefault="006506BB" w:rsidP="00F655E6">
      <w:pPr>
        <w:pStyle w:val="5BodyText"/>
        <w:numPr>
          <w:ilvl w:val="0"/>
          <w:numId w:val="70"/>
        </w:numPr>
        <w:rPr>
          <w:color w:val="333333" w:themeColor="background1"/>
        </w:rPr>
      </w:pPr>
      <w:hyperlink r:id="rId47" w:history="1">
        <w:r w:rsidR="00B65A50" w:rsidRPr="00F041AD">
          <w:rPr>
            <w:rStyle w:val="Hyperlink"/>
            <w:color w:val="333333" w:themeColor="background1"/>
          </w:rPr>
          <w:t>A number of fleets</w:t>
        </w:r>
      </w:hyperlink>
      <w:r w:rsidR="00B65A50" w:rsidRPr="00F041AD">
        <w:rPr>
          <w:color w:val="333333" w:themeColor="background1"/>
        </w:rPr>
        <w:t xml:space="preserve"> in private companies, local governments, state agencies, and colleges/universities currently use electric vehicles.</w:t>
      </w:r>
      <w:r w:rsidR="00B65A50" w:rsidRPr="00F041AD">
        <w:rPr>
          <w:color w:val="333333" w:themeColor="background1"/>
          <w:vertAlign w:val="superscript"/>
        </w:rPr>
        <w:endnoteReference w:id="98"/>
      </w:r>
      <w:r w:rsidR="00B65A50" w:rsidRPr="00F041AD">
        <w:rPr>
          <w:color w:val="333333" w:themeColor="background1"/>
        </w:rPr>
        <w:br/>
      </w:r>
    </w:p>
    <w:p w14:paraId="4DC7A581" w14:textId="77777777" w:rsidR="00B65A50" w:rsidRPr="00F041AD" w:rsidRDefault="00B65A50" w:rsidP="00F655E6">
      <w:pPr>
        <w:pStyle w:val="5BodyText"/>
        <w:numPr>
          <w:ilvl w:val="0"/>
          <w:numId w:val="70"/>
        </w:numPr>
        <w:rPr>
          <w:color w:val="333333" w:themeColor="background1"/>
        </w:rPr>
      </w:pPr>
      <w:r w:rsidRPr="00F041AD">
        <w:rPr>
          <w:color w:val="333333" w:themeColor="background1"/>
        </w:rPr>
        <w:t xml:space="preserve">During the 2015 legislative session, </w:t>
      </w:r>
      <w:hyperlink r:id="rId48" w:anchor="stat.16C.135.2" w:history="1">
        <w:r w:rsidRPr="00F041AD">
          <w:rPr>
            <w:rStyle w:val="Hyperlink"/>
            <w:color w:val="333333" w:themeColor="background1"/>
          </w:rPr>
          <w:t>Minnesota Statute 16C.135</w:t>
        </w:r>
      </w:hyperlink>
      <w:r w:rsidRPr="00F041AD">
        <w:rPr>
          <w:color w:val="333333" w:themeColor="background1"/>
        </w:rPr>
        <w:t>, Purchase of Fuel and Vehicles by State Agencies, Subdivision 3 was amended, removing the requirement for fleet vehicles to be “reasonably available at similar costs to other vehicles.” Subdivision 3 now reads:</w:t>
      </w:r>
    </w:p>
    <w:p w14:paraId="7F2512F6" w14:textId="77777777" w:rsidR="00B65A50" w:rsidRPr="00F041AD" w:rsidRDefault="00B65A50" w:rsidP="00F655E6">
      <w:pPr>
        <w:pStyle w:val="5BodyText"/>
        <w:rPr>
          <w:color w:val="333333" w:themeColor="background1"/>
        </w:rPr>
      </w:pPr>
    </w:p>
    <w:p w14:paraId="4C55640C" w14:textId="77777777" w:rsidR="00B65A50" w:rsidRPr="00F041AD" w:rsidRDefault="00B65A50" w:rsidP="00F655E6">
      <w:pPr>
        <w:pStyle w:val="5BodyText"/>
        <w:ind w:left="1440"/>
        <w:rPr>
          <w:color w:val="333333" w:themeColor="background1"/>
          <w:sz w:val="18"/>
        </w:rPr>
      </w:pPr>
      <w:r w:rsidRPr="00F041AD">
        <w:rPr>
          <w:color w:val="333333" w:themeColor="background1"/>
          <w:sz w:val="18"/>
        </w:rPr>
        <w:t xml:space="preserve">[...] </w:t>
      </w:r>
      <w:r w:rsidRPr="00F041AD">
        <w:rPr>
          <w:color w:val="333333" w:themeColor="background1"/>
          <w:sz w:val="18"/>
          <w:highlight w:val="white"/>
        </w:rPr>
        <w:t>When purchasing a motor vehicle for the central motor pool or for use by an agency, the commissioner or the agency shall purchase a motor vehicle that is capable of being powered by cleaner fuels, or a motor vehicle powered by electricity or by a combination of electricity and liquid fuel, if the total life-cycle cost of ownership is less than or comparable to that of other vehicles</w:t>
      </w:r>
      <w:r w:rsidRPr="00F041AD">
        <w:rPr>
          <w:i/>
          <w:color w:val="333333" w:themeColor="background1"/>
          <w:sz w:val="18"/>
          <w:highlight w:val="white"/>
        </w:rPr>
        <w:t xml:space="preserve"> </w:t>
      </w:r>
      <w:r w:rsidRPr="00F041AD">
        <w:rPr>
          <w:color w:val="333333" w:themeColor="background1"/>
          <w:sz w:val="18"/>
          <w:highlight w:val="white"/>
        </w:rPr>
        <w:t>and if the vehicle is capable of carrying out the purpose for which it is purchased.</w:t>
      </w:r>
      <w:r w:rsidRPr="00F041AD">
        <w:rPr>
          <w:color w:val="333333" w:themeColor="background1"/>
          <w:sz w:val="18"/>
          <w:highlight w:val="white"/>
          <w:vertAlign w:val="superscript"/>
        </w:rPr>
        <w:endnoteReference w:id="99"/>
      </w:r>
    </w:p>
    <w:p w14:paraId="02EC03CB" w14:textId="77777777" w:rsidR="00B65A50" w:rsidRPr="00F041AD" w:rsidRDefault="00B65A50" w:rsidP="00F655E6">
      <w:pPr>
        <w:pStyle w:val="5BodyText"/>
        <w:rPr>
          <w:color w:val="333333" w:themeColor="background1"/>
        </w:rPr>
      </w:pPr>
    </w:p>
    <w:p w14:paraId="335A37A6" w14:textId="77777777" w:rsidR="00B65A50" w:rsidRPr="00F041AD" w:rsidRDefault="00B65A50" w:rsidP="00F655E6">
      <w:pPr>
        <w:pStyle w:val="Normal1"/>
        <w:ind w:left="720"/>
        <w:rPr>
          <w:rFonts w:ascii="Helvetica Neue" w:hAnsi="Helvetica Neue"/>
          <w:color w:val="333333" w:themeColor="background1"/>
          <w:sz w:val="20"/>
          <w:szCs w:val="20"/>
        </w:rPr>
      </w:pPr>
      <w:r w:rsidRPr="00F041AD">
        <w:rPr>
          <w:rFonts w:ascii="Helvetica Neue" w:hAnsi="Helvetica Neue"/>
          <w:color w:val="333333" w:themeColor="background1"/>
          <w:sz w:val="20"/>
          <w:szCs w:val="20"/>
        </w:rPr>
        <w:t>This enables EV purchases in public fleets by allowing a lifecycle cost comparison instead of a simple upfront cost comparison.</w:t>
      </w:r>
    </w:p>
    <w:p w14:paraId="271597ED" w14:textId="77777777" w:rsidR="00B65A50" w:rsidRPr="00F041AD" w:rsidRDefault="00B65A50" w:rsidP="00F655E6">
      <w:pPr>
        <w:pStyle w:val="5BodyText"/>
        <w:rPr>
          <w:color w:val="333333" w:themeColor="background1"/>
        </w:rPr>
      </w:pPr>
    </w:p>
    <w:p w14:paraId="0272278F" w14:textId="77777777" w:rsidR="00B65A50" w:rsidRPr="00F041AD" w:rsidRDefault="00B65A50" w:rsidP="00F655E6">
      <w:pPr>
        <w:pStyle w:val="5BodyText"/>
        <w:rPr>
          <w:b/>
          <w:i/>
          <w:color w:val="333333" w:themeColor="background1"/>
        </w:rPr>
      </w:pPr>
      <w:r w:rsidRPr="00F041AD">
        <w:rPr>
          <w:b/>
          <w:i/>
          <w:color w:val="333333" w:themeColor="background1"/>
        </w:rPr>
        <w:t>Other related resources</w:t>
      </w:r>
    </w:p>
    <w:p w14:paraId="70643EDC" w14:textId="77777777" w:rsidR="00B65A50" w:rsidRPr="00F041AD" w:rsidRDefault="00B65A50" w:rsidP="00F655E6">
      <w:pPr>
        <w:pStyle w:val="5BodyText"/>
        <w:numPr>
          <w:ilvl w:val="0"/>
          <w:numId w:val="71"/>
        </w:numPr>
        <w:rPr>
          <w:color w:val="333333" w:themeColor="background1"/>
        </w:rPr>
      </w:pPr>
      <w:r w:rsidRPr="00F041AD">
        <w:rPr>
          <w:color w:val="333333" w:themeColor="background1"/>
        </w:rPr>
        <w:t xml:space="preserve">U.S. DOE’s </w:t>
      </w:r>
      <w:hyperlink r:id="rId49" w:history="1">
        <w:r w:rsidRPr="00F041AD">
          <w:rPr>
            <w:rStyle w:val="Hyperlink"/>
            <w:i/>
            <w:color w:val="333333" w:themeColor="background1"/>
          </w:rPr>
          <w:t>Plug-In Electric Vehicle Handbook for Fleet Managers</w:t>
        </w:r>
      </w:hyperlink>
      <w:r w:rsidRPr="00F041AD">
        <w:rPr>
          <w:i/>
          <w:color w:val="333333" w:themeColor="background1"/>
        </w:rPr>
        <w:t xml:space="preserve"> </w:t>
      </w:r>
      <w:r w:rsidRPr="00F041AD">
        <w:rPr>
          <w:color w:val="333333" w:themeColor="background1"/>
        </w:rPr>
        <w:t>guides users through EV technology and charging infrastructure, and provides information about EV procurement.</w:t>
      </w:r>
      <w:r w:rsidRPr="00F041AD">
        <w:rPr>
          <w:color w:val="333333" w:themeColor="background1"/>
          <w:vertAlign w:val="superscript"/>
        </w:rPr>
        <w:endnoteReference w:id="100"/>
      </w:r>
      <w:r w:rsidRPr="00F041AD">
        <w:rPr>
          <w:color w:val="333333" w:themeColor="background1"/>
        </w:rPr>
        <w:br/>
      </w:r>
    </w:p>
    <w:p w14:paraId="50CC7AAE" w14:textId="77777777" w:rsidR="00B65A50" w:rsidRPr="00F041AD" w:rsidRDefault="00B65A50" w:rsidP="00F655E6">
      <w:pPr>
        <w:pStyle w:val="5BodyText"/>
        <w:numPr>
          <w:ilvl w:val="0"/>
          <w:numId w:val="71"/>
        </w:numPr>
        <w:rPr>
          <w:color w:val="333333" w:themeColor="background1"/>
        </w:rPr>
      </w:pPr>
      <w:r w:rsidRPr="00F041AD">
        <w:rPr>
          <w:color w:val="333333" w:themeColor="background1"/>
        </w:rPr>
        <w:t>Edison Electric Institute’s 2014 report, “</w:t>
      </w:r>
      <w:hyperlink r:id="rId50" w:history="1">
        <w:r w:rsidRPr="00F041AD">
          <w:rPr>
            <w:rStyle w:val="Hyperlink"/>
            <w:color w:val="333333" w:themeColor="background1"/>
          </w:rPr>
          <w:t>Transportation Electrification: Utility fleets leading the charge</w:t>
        </w:r>
      </w:hyperlink>
      <w:r w:rsidRPr="00F041AD">
        <w:rPr>
          <w:color w:val="333333" w:themeColor="background1"/>
        </w:rPr>
        <w:t>” outlines the rationale for utility support for EVs in general and in particular for electrification of utility fleets.</w:t>
      </w:r>
      <w:r w:rsidRPr="00F041AD">
        <w:rPr>
          <w:rStyle w:val="EndnoteReference"/>
          <w:color w:val="333333" w:themeColor="background1"/>
        </w:rPr>
        <w:t xml:space="preserve"> </w:t>
      </w:r>
      <w:r w:rsidRPr="00F041AD">
        <w:rPr>
          <w:rStyle w:val="EndnoteReference"/>
          <w:color w:val="333333" w:themeColor="background1"/>
        </w:rPr>
        <w:endnoteReference w:id="101"/>
      </w:r>
      <w:r w:rsidRPr="00F041AD">
        <w:rPr>
          <w:color w:val="333333" w:themeColor="background1"/>
        </w:rPr>
        <w:br/>
      </w:r>
    </w:p>
    <w:p w14:paraId="4F8B4040" w14:textId="77777777" w:rsidR="00B65A50" w:rsidRPr="00F041AD" w:rsidRDefault="006506BB" w:rsidP="00F655E6">
      <w:pPr>
        <w:pStyle w:val="5BodyText"/>
        <w:numPr>
          <w:ilvl w:val="0"/>
          <w:numId w:val="71"/>
        </w:numPr>
        <w:rPr>
          <w:color w:val="333333" w:themeColor="background1"/>
        </w:rPr>
      </w:pPr>
      <w:hyperlink r:id="rId51" w:history="1">
        <w:r w:rsidR="00B65A50" w:rsidRPr="00F041AD">
          <w:rPr>
            <w:rStyle w:val="Hyperlink"/>
            <w:color w:val="333333" w:themeColor="background1"/>
          </w:rPr>
          <w:t>State fleets</w:t>
        </w:r>
      </w:hyperlink>
      <w:r w:rsidR="00B65A50" w:rsidRPr="00F041AD">
        <w:rPr>
          <w:color w:val="333333" w:themeColor="background1"/>
        </w:rPr>
        <w:t xml:space="preserve"> can get compliance credits for the Energy Policy Act by choosing EVs.</w:t>
      </w:r>
      <w:r w:rsidR="00B65A50" w:rsidRPr="00F041AD">
        <w:rPr>
          <w:rStyle w:val="EndnoteReference"/>
          <w:color w:val="333333" w:themeColor="background1"/>
        </w:rPr>
        <w:endnoteReference w:id="102"/>
      </w:r>
    </w:p>
    <w:p w14:paraId="2C2CA554" w14:textId="77777777" w:rsidR="00B65A50" w:rsidRPr="00F041AD" w:rsidRDefault="00B65A50" w:rsidP="00F655E6">
      <w:pPr>
        <w:pStyle w:val="5BodyText"/>
        <w:rPr>
          <w:color w:val="333333" w:themeColor="background1"/>
        </w:rPr>
      </w:pPr>
      <w:bookmarkStart w:id="131" w:name="_Toc319794266"/>
    </w:p>
    <w:p w14:paraId="75A3A218" w14:textId="77777777" w:rsidR="00B65A50" w:rsidRPr="00F041AD" w:rsidRDefault="00B65A50" w:rsidP="00F655E6">
      <w:pPr>
        <w:pStyle w:val="5BodyText"/>
        <w:rPr>
          <w:color w:val="333333" w:themeColor="background1"/>
        </w:rPr>
      </w:pPr>
    </w:p>
    <w:p w14:paraId="218E7938" w14:textId="01D7E934" w:rsidR="00B65A50" w:rsidRPr="00F041AD" w:rsidRDefault="00725676" w:rsidP="004C45CB">
      <w:pPr>
        <w:pStyle w:val="StrategyName"/>
      </w:pPr>
      <w:bookmarkStart w:id="132" w:name="_Toc322961625"/>
      <w:bookmarkStart w:id="133" w:name="_Toc322962034"/>
      <w:bookmarkStart w:id="134" w:name="_Toc322962221"/>
      <w:r>
        <w:t>A3</w:t>
      </w:r>
      <w:r w:rsidR="00B65A50" w:rsidRPr="00F041AD">
        <w:t>. Electrify buses</w:t>
      </w:r>
      <w:bookmarkEnd w:id="131"/>
      <w:bookmarkEnd w:id="132"/>
      <w:bookmarkEnd w:id="133"/>
      <w:bookmarkEnd w:id="134"/>
      <w:r w:rsidR="00B65A50" w:rsidRPr="00F041AD">
        <w:t xml:space="preserve"> </w:t>
      </w:r>
    </w:p>
    <w:p w14:paraId="71CD0E9D" w14:textId="77777777" w:rsidR="00B65A50" w:rsidRPr="00F041AD" w:rsidRDefault="00B65A50" w:rsidP="00F655E6">
      <w:pPr>
        <w:pStyle w:val="5BodyText"/>
        <w:rPr>
          <w:color w:val="333333" w:themeColor="background1"/>
        </w:rPr>
      </w:pPr>
    </w:p>
    <w:p w14:paraId="62B6A2DB" w14:textId="77777777" w:rsidR="00B65A50" w:rsidRPr="00F041AD" w:rsidRDefault="00B65A50" w:rsidP="00F655E6">
      <w:pPr>
        <w:pStyle w:val="5BodyText"/>
        <w:rPr>
          <w:b/>
          <w:i/>
          <w:color w:val="333333" w:themeColor="background1"/>
        </w:rPr>
      </w:pPr>
      <w:r w:rsidRPr="00F041AD">
        <w:rPr>
          <w:b/>
          <w:i/>
          <w:color w:val="333333" w:themeColor="background1"/>
        </w:rPr>
        <w:t>Strategy overview</w:t>
      </w:r>
    </w:p>
    <w:p w14:paraId="13929549" w14:textId="77777777" w:rsidR="00B65A50" w:rsidRPr="00F041AD" w:rsidRDefault="00B65A50" w:rsidP="00F655E6">
      <w:pPr>
        <w:pStyle w:val="5BodyText"/>
        <w:rPr>
          <w:color w:val="333333" w:themeColor="background1"/>
        </w:rPr>
      </w:pPr>
      <w:r w:rsidRPr="00F041AD">
        <w:rPr>
          <w:color w:val="333333" w:themeColor="background1"/>
        </w:rPr>
        <w:t>Buses carry three percent of total Minnesota commuters to work, and the environmental impacts of these trips, including criteria air pollutants, are concentrated in urban areas. Electric buses have potential to limit both local air pollution as well as GHG emissions. Electric buses are close to cost-competitive today, and with further deployment, Minnesota can demonstrate leadership among states and help bring the costs down for future rollout.</w:t>
      </w:r>
    </w:p>
    <w:p w14:paraId="7975D04E" w14:textId="77777777" w:rsidR="00B65A50" w:rsidRPr="00F041AD" w:rsidRDefault="00B65A50" w:rsidP="00F655E6">
      <w:pPr>
        <w:pStyle w:val="5BodyText"/>
        <w:rPr>
          <w:color w:val="333333" w:themeColor="background1"/>
        </w:rPr>
      </w:pPr>
    </w:p>
    <w:p w14:paraId="37C548C8" w14:textId="77777777" w:rsidR="00B65A50" w:rsidRPr="00F041AD" w:rsidRDefault="00B65A50" w:rsidP="00F655E6">
      <w:pPr>
        <w:pStyle w:val="5BodyText"/>
        <w:rPr>
          <w:color w:val="333333" w:themeColor="background1"/>
        </w:rPr>
      </w:pPr>
      <w:r w:rsidRPr="00F041AD">
        <w:rPr>
          <w:color w:val="333333" w:themeColor="background1"/>
        </w:rPr>
        <w:t xml:space="preserve">Given the momentum and the likely benefits of pursuing broader adoption of electrified buses in Minnesota, stakeholders have identified this strategy as a near-term priority for further action. </w:t>
      </w:r>
    </w:p>
    <w:p w14:paraId="2685F1A8" w14:textId="77777777" w:rsidR="00B65A50" w:rsidRPr="00F041AD" w:rsidRDefault="00B65A50" w:rsidP="00F655E6">
      <w:pPr>
        <w:pStyle w:val="5BodyText"/>
        <w:rPr>
          <w:color w:val="333333" w:themeColor="background1"/>
        </w:rPr>
      </w:pPr>
    </w:p>
    <w:p w14:paraId="7B947B11" w14:textId="77777777" w:rsidR="00B65A50" w:rsidRPr="00F041AD" w:rsidRDefault="00B65A50" w:rsidP="00F655E6">
      <w:pPr>
        <w:pStyle w:val="5BodyText"/>
        <w:rPr>
          <w:b/>
          <w:i/>
          <w:color w:val="333333" w:themeColor="background1"/>
        </w:rPr>
      </w:pPr>
      <w:r w:rsidRPr="00F041AD">
        <w:rPr>
          <w:b/>
          <w:i/>
          <w:color w:val="333333" w:themeColor="background1"/>
        </w:rPr>
        <w:t>Specific actions for strategy implementation</w:t>
      </w:r>
    </w:p>
    <w:p w14:paraId="0A422E7E" w14:textId="77777777" w:rsidR="00B65A50" w:rsidRPr="00F041AD" w:rsidRDefault="00B65A50" w:rsidP="00F655E6">
      <w:pPr>
        <w:pStyle w:val="5BodyText"/>
        <w:rPr>
          <w:b/>
          <w:i/>
          <w:color w:val="333333" w:themeColor="background1"/>
        </w:rPr>
      </w:pPr>
    </w:p>
    <w:p w14:paraId="64BE83B5" w14:textId="5EDE43E1" w:rsidR="00B65A50" w:rsidRPr="00F041AD" w:rsidRDefault="00B65A50" w:rsidP="00795CAC">
      <w:pPr>
        <w:pStyle w:val="5BodyText"/>
        <w:numPr>
          <w:ilvl w:val="0"/>
          <w:numId w:val="72"/>
        </w:numPr>
        <w:rPr>
          <w:color w:val="333333" w:themeColor="background1"/>
        </w:rPr>
      </w:pPr>
      <w:r w:rsidRPr="00F041AD">
        <w:rPr>
          <w:b/>
          <w:color w:val="333333" w:themeColor="background1"/>
        </w:rPr>
        <w:t>Validate lifecycle cost studies/estimates for electric buses.</w:t>
      </w:r>
      <w:r w:rsidRPr="00F041AD">
        <w:rPr>
          <w:color w:val="333333" w:themeColor="background1"/>
        </w:rPr>
        <w:t xml:space="preserve"> </w:t>
      </w:r>
      <w:r w:rsidRPr="00F041AD">
        <w:rPr>
          <w:color w:val="333333" w:themeColor="background1"/>
        </w:rPr>
        <w:br/>
        <w:t>Third-party validation of transit agencies’ and manufacturers’ lifecycle cost studies or estimates could verify the costs and benefits of electric buses compared to conventional diesel buses. The costs and benefits considered may include:</w:t>
      </w:r>
    </w:p>
    <w:p w14:paraId="7BCFB382" w14:textId="77777777" w:rsidR="00B65A50" w:rsidRPr="00F041AD" w:rsidRDefault="00B65A50" w:rsidP="00F655E6">
      <w:pPr>
        <w:pStyle w:val="5BodyText"/>
        <w:ind w:firstLine="720"/>
        <w:rPr>
          <w:i/>
          <w:color w:val="333333" w:themeColor="background1"/>
        </w:rPr>
      </w:pPr>
    </w:p>
    <w:p w14:paraId="6A266C9F" w14:textId="77777777" w:rsidR="00B65A50" w:rsidRPr="00F041AD" w:rsidRDefault="00B65A50" w:rsidP="00F655E6">
      <w:pPr>
        <w:pStyle w:val="5BodyText"/>
        <w:ind w:firstLine="720"/>
        <w:rPr>
          <w:color w:val="333333" w:themeColor="background1"/>
        </w:rPr>
      </w:pPr>
      <w:r w:rsidRPr="00F041AD">
        <w:rPr>
          <w:i/>
          <w:color w:val="333333" w:themeColor="background1"/>
        </w:rPr>
        <w:t>Costs:</w:t>
      </w:r>
    </w:p>
    <w:p w14:paraId="5F220D44"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Capital cost premium</w:t>
      </w:r>
    </w:p>
    <w:p w14:paraId="3863CD0F"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Charging infrastructure</w:t>
      </w:r>
    </w:p>
    <w:p w14:paraId="67BE8CBE"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Battery replacement</w:t>
      </w:r>
    </w:p>
    <w:p w14:paraId="142A3C21"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Electricity costs, including demand charges as appropriate</w:t>
      </w:r>
    </w:p>
    <w:p w14:paraId="33516F11"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Auxiliary heating costs (e.g. reduced wintertime range, diesel heater costs)</w:t>
      </w:r>
    </w:p>
    <w:p w14:paraId="561EB80A" w14:textId="77777777" w:rsidR="00B65A50" w:rsidRPr="00F041AD" w:rsidRDefault="00B65A50" w:rsidP="00F655E6">
      <w:pPr>
        <w:pStyle w:val="5BodyText"/>
        <w:ind w:firstLine="720"/>
        <w:rPr>
          <w:i/>
          <w:color w:val="333333" w:themeColor="background1"/>
        </w:rPr>
      </w:pPr>
    </w:p>
    <w:p w14:paraId="738741CE" w14:textId="77777777" w:rsidR="00B65A50" w:rsidRPr="00F041AD" w:rsidRDefault="00B65A50" w:rsidP="00F655E6">
      <w:pPr>
        <w:pStyle w:val="5BodyText"/>
        <w:ind w:firstLine="720"/>
        <w:rPr>
          <w:i/>
          <w:color w:val="333333" w:themeColor="background1"/>
        </w:rPr>
      </w:pPr>
      <w:r w:rsidRPr="00F041AD">
        <w:rPr>
          <w:i/>
          <w:color w:val="333333" w:themeColor="background1"/>
        </w:rPr>
        <w:t>Benefits:</w:t>
      </w:r>
    </w:p>
    <w:p w14:paraId="26F46470"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Avoided fuel purchases</w:t>
      </w:r>
    </w:p>
    <w:p w14:paraId="08BDE60C"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Avoided maintenance costs</w:t>
      </w:r>
    </w:p>
    <w:p w14:paraId="782F072A" w14:textId="77777777" w:rsidR="00B65A50" w:rsidRPr="00F041AD" w:rsidRDefault="00B65A50" w:rsidP="00F655E6">
      <w:pPr>
        <w:pStyle w:val="5BodyText"/>
        <w:numPr>
          <w:ilvl w:val="1"/>
          <w:numId w:val="59"/>
        </w:numPr>
        <w:rPr>
          <w:color w:val="333333" w:themeColor="background1"/>
        </w:rPr>
      </w:pPr>
      <w:r w:rsidRPr="00F041AD">
        <w:rPr>
          <w:color w:val="333333" w:themeColor="background1"/>
        </w:rPr>
        <w:t>Reduced emissions (including local criteria air pollutants)</w:t>
      </w:r>
    </w:p>
    <w:p w14:paraId="3F32C7ED" w14:textId="77777777" w:rsidR="00B65A50" w:rsidRPr="00F041AD" w:rsidRDefault="00B65A50" w:rsidP="00F655E6">
      <w:pPr>
        <w:pStyle w:val="5BodyText"/>
        <w:rPr>
          <w:color w:val="333333" w:themeColor="background1"/>
        </w:rPr>
      </w:pPr>
    </w:p>
    <w:p w14:paraId="1A2C97B5" w14:textId="77777777" w:rsidR="00B65A50" w:rsidRPr="00F041AD" w:rsidRDefault="00B65A50" w:rsidP="00F655E6">
      <w:pPr>
        <w:pStyle w:val="5BodyText"/>
        <w:ind w:left="720"/>
        <w:rPr>
          <w:b/>
          <w:color w:val="333333" w:themeColor="background1"/>
        </w:rPr>
      </w:pPr>
      <w:r w:rsidRPr="00F041AD">
        <w:rPr>
          <w:b/>
          <w:color w:val="333333" w:themeColor="background1"/>
        </w:rPr>
        <w:t>Champions/Key Participants:</w:t>
      </w:r>
    </w:p>
    <w:p w14:paraId="3BC4AE9B" w14:textId="77777777" w:rsidR="00B65A50" w:rsidRPr="00F041AD" w:rsidRDefault="00B65A50" w:rsidP="00F655E6">
      <w:pPr>
        <w:pStyle w:val="5BodyText"/>
        <w:ind w:left="720"/>
        <w:rPr>
          <w:color w:val="333333" w:themeColor="background1"/>
        </w:rPr>
      </w:pPr>
      <w:r w:rsidRPr="00F041AD">
        <w:rPr>
          <w:b/>
          <w:color w:val="333333" w:themeColor="background1"/>
        </w:rPr>
        <w:t xml:space="preserve">- </w:t>
      </w:r>
      <w:r w:rsidRPr="00F041AD">
        <w:rPr>
          <w:color w:val="333333" w:themeColor="background1"/>
        </w:rPr>
        <w:t>Metro Transit</w:t>
      </w:r>
    </w:p>
    <w:p w14:paraId="036B3E76" w14:textId="77777777" w:rsidR="00B65A50" w:rsidRPr="00F041AD" w:rsidRDefault="00B65A50" w:rsidP="00F655E6">
      <w:pPr>
        <w:pStyle w:val="5BodyText"/>
        <w:ind w:left="720"/>
        <w:rPr>
          <w:color w:val="333333" w:themeColor="background1"/>
        </w:rPr>
      </w:pPr>
      <w:r w:rsidRPr="00F041AD">
        <w:rPr>
          <w:color w:val="333333" w:themeColor="background1"/>
        </w:rPr>
        <w:t>- Duluth Transit Authority</w:t>
      </w:r>
    </w:p>
    <w:p w14:paraId="4447F9A7" w14:textId="77777777" w:rsidR="00B65A50" w:rsidRPr="00F041AD" w:rsidRDefault="00B65A50" w:rsidP="00F655E6">
      <w:pPr>
        <w:pStyle w:val="5BodyText"/>
        <w:rPr>
          <w:color w:val="333333" w:themeColor="background1"/>
        </w:rPr>
      </w:pPr>
    </w:p>
    <w:p w14:paraId="18414BC5" w14:textId="77777777" w:rsidR="00B65A50" w:rsidRPr="00F041AD" w:rsidRDefault="00B65A50" w:rsidP="00F655E6">
      <w:pPr>
        <w:pStyle w:val="5BodyText"/>
        <w:numPr>
          <w:ilvl w:val="0"/>
          <w:numId w:val="72"/>
        </w:numPr>
        <w:rPr>
          <w:color w:val="333333" w:themeColor="background1"/>
        </w:rPr>
      </w:pPr>
      <w:r w:rsidRPr="00F041AD">
        <w:rPr>
          <w:b/>
          <w:color w:val="333333" w:themeColor="background1"/>
        </w:rPr>
        <w:lastRenderedPageBreak/>
        <w:t>Demonstrate electric buses on different types of transit routes in Minnesota.</w:t>
      </w:r>
      <w:r w:rsidRPr="00F041AD">
        <w:rPr>
          <w:b/>
          <w:color w:val="333333" w:themeColor="background1"/>
        </w:rPr>
        <w:br/>
      </w:r>
      <w:r w:rsidRPr="00F041AD">
        <w:rPr>
          <w:color w:val="333333" w:themeColor="background1"/>
        </w:rPr>
        <w:t>Demonstration projects allow riders to become more familiar with electric bus technology and for transit agencies to test them. Routes for electric buses could include both suburban and urban routes, in order to test applicability (including charging infrastructure requirements) across these different use cases.</w:t>
      </w:r>
    </w:p>
    <w:p w14:paraId="1C047EB7" w14:textId="77777777" w:rsidR="00B65A50" w:rsidRPr="00F041AD" w:rsidRDefault="00B65A50" w:rsidP="00F655E6">
      <w:pPr>
        <w:pStyle w:val="5BodyText"/>
        <w:rPr>
          <w:color w:val="333333" w:themeColor="background1"/>
        </w:rPr>
      </w:pPr>
    </w:p>
    <w:p w14:paraId="737DE428" w14:textId="77777777" w:rsidR="00B65A50" w:rsidRPr="00F041AD" w:rsidRDefault="00B65A50" w:rsidP="00F655E6">
      <w:pPr>
        <w:pStyle w:val="5BodyText"/>
        <w:ind w:left="720"/>
        <w:rPr>
          <w:color w:val="333333" w:themeColor="background1"/>
        </w:rPr>
      </w:pPr>
      <w:r w:rsidRPr="00F041AD">
        <w:rPr>
          <w:b/>
          <w:color w:val="333333" w:themeColor="background1"/>
        </w:rPr>
        <w:t>Champions/ Key Participants:</w:t>
      </w:r>
      <w:r w:rsidRPr="00F041AD">
        <w:rPr>
          <w:color w:val="333333" w:themeColor="background1"/>
        </w:rPr>
        <w:t xml:space="preserve"> </w:t>
      </w:r>
    </w:p>
    <w:p w14:paraId="3FA6BCC8" w14:textId="77777777" w:rsidR="00B65A50" w:rsidRPr="00F041AD" w:rsidRDefault="00B65A50" w:rsidP="00F655E6">
      <w:pPr>
        <w:pStyle w:val="5BodyText"/>
        <w:ind w:left="720"/>
        <w:rPr>
          <w:color w:val="333333" w:themeColor="background1"/>
        </w:rPr>
      </w:pPr>
      <w:r w:rsidRPr="00F041AD">
        <w:rPr>
          <w:b/>
          <w:color w:val="333333" w:themeColor="background1"/>
        </w:rPr>
        <w:t xml:space="preserve">- </w:t>
      </w:r>
      <w:r w:rsidRPr="00F041AD">
        <w:rPr>
          <w:color w:val="333333" w:themeColor="background1"/>
        </w:rPr>
        <w:t>Metro Transit</w:t>
      </w:r>
    </w:p>
    <w:p w14:paraId="7AA50E02" w14:textId="77777777" w:rsidR="00B65A50" w:rsidRPr="00F041AD" w:rsidRDefault="00B65A50" w:rsidP="00F655E6">
      <w:pPr>
        <w:pStyle w:val="5BodyText"/>
        <w:ind w:left="720"/>
        <w:rPr>
          <w:color w:val="333333" w:themeColor="background1"/>
        </w:rPr>
      </w:pPr>
      <w:r w:rsidRPr="00F041AD">
        <w:rPr>
          <w:color w:val="333333" w:themeColor="background1"/>
        </w:rPr>
        <w:t>- Duluth Transit Authority</w:t>
      </w:r>
    </w:p>
    <w:p w14:paraId="29175C43" w14:textId="77777777" w:rsidR="00B65A50" w:rsidRPr="00F041AD" w:rsidRDefault="00B65A50" w:rsidP="00F655E6">
      <w:pPr>
        <w:pStyle w:val="5BodyText"/>
        <w:ind w:left="720"/>
        <w:rPr>
          <w:color w:val="333333" w:themeColor="background1"/>
        </w:rPr>
      </w:pPr>
      <w:r w:rsidRPr="00F041AD">
        <w:rPr>
          <w:color w:val="333333" w:themeColor="background1"/>
        </w:rPr>
        <w:t>- Transit authorities</w:t>
      </w:r>
    </w:p>
    <w:p w14:paraId="003B41CC" w14:textId="77777777" w:rsidR="00B65A50" w:rsidRPr="00F041AD" w:rsidRDefault="00B65A50" w:rsidP="00F655E6">
      <w:pPr>
        <w:pStyle w:val="5BodyText"/>
        <w:ind w:left="720"/>
        <w:rPr>
          <w:color w:val="333333" w:themeColor="background1"/>
        </w:rPr>
      </w:pPr>
      <w:r w:rsidRPr="00F041AD">
        <w:rPr>
          <w:color w:val="333333" w:themeColor="background1"/>
        </w:rPr>
        <w:t>- Electric utilities</w:t>
      </w:r>
    </w:p>
    <w:p w14:paraId="7C57DF36" w14:textId="77777777" w:rsidR="00B65A50" w:rsidRPr="00F041AD" w:rsidRDefault="00B65A50" w:rsidP="00F655E6">
      <w:pPr>
        <w:pStyle w:val="5BodyText"/>
        <w:rPr>
          <w:color w:val="333333" w:themeColor="background1"/>
        </w:rPr>
      </w:pPr>
    </w:p>
    <w:p w14:paraId="521B0BFC" w14:textId="77777777" w:rsidR="00B65A50" w:rsidRPr="00F041AD" w:rsidRDefault="00B65A50" w:rsidP="00F655E6">
      <w:pPr>
        <w:pStyle w:val="5BodyText"/>
        <w:rPr>
          <w:b/>
          <w:i/>
          <w:color w:val="333333" w:themeColor="background1"/>
        </w:rPr>
      </w:pPr>
      <w:r w:rsidRPr="00F041AD">
        <w:rPr>
          <w:b/>
          <w:i/>
          <w:color w:val="333333" w:themeColor="background1"/>
        </w:rPr>
        <w:t>Success factors</w:t>
      </w:r>
    </w:p>
    <w:p w14:paraId="72A7A407" w14:textId="77777777" w:rsidR="00B65A50" w:rsidRPr="00F041AD" w:rsidRDefault="00B65A50" w:rsidP="00F655E6">
      <w:pPr>
        <w:pStyle w:val="5BodyText"/>
        <w:numPr>
          <w:ilvl w:val="0"/>
          <w:numId w:val="73"/>
        </w:numPr>
        <w:rPr>
          <w:color w:val="333333" w:themeColor="background1"/>
        </w:rPr>
      </w:pPr>
      <w:r w:rsidRPr="00F041AD">
        <w:rPr>
          <w:b/>
          <w:color w:val="333333" w:themeColor="background1"/>
        </w:rPr>
        <w:t>A compelling financial case exists for electric buses</w:t>
      </w:r>
      <w:r w:rsidRPr="00F041AD">
        <w:rPr>
          <w:color w:val="333333" w:themeColor="background1"/>
        </w:rPr>
        <w:t>. Despite additional upfront costs, electric buses are expected to be less expensive on a lifecycle basis than conventional diesel buses, due to lower fuel costs, reduced operations and maintenance costs, and longer lifecycles.</w:t>
      </w:r>
      <w:r w:rsidRPr="00F041AD">
        <w:rPr>
          <w:color w:val="333333" w:themeColor="background1"/>
        </w:rPr>
        <w:br/>
      </w:r>
    </w:p>
    <w:p w14:paraId="244C8673" w14:textId="77777777" w:rsidR="00B65A50" w:rsidRPr="00F041AD" w:rsidRDefault="00B65A50" w:rsidP="00F655E6">
      <w:pPr>
        <w:pStyle w:val="5BodyText"/>
        <w:numPr>
          <w:ilvl w:val="0"/>
          <w:numId w:val="73"/>
        </w:numPr>
        <w:rPr>
          <w:color w:val="333333" w:themeColor="background1"/>
        </w:rPr>
      </w:pPr>
      <w:r w:rsidRPr="00F041AD">
        <w:rPr>
          <w:b/>
          <w:color w:val="333333" w:themeColor="background1"/>
        </w:rPr>
        <w:t xml:space="preserve">Bus operators demonstrate that operational issues can be overcome. </w:t>
      </w:r>
      <w:r w:rsidRPr="00F041AD">
        <w:rPr>
          <w:color w:val="333333" w:themeColor="background1"/>
        </w:rPr>
        <w:t xml:space="preserve">Demonstration projects allow operators and riders to become familiar with the technology and show that there are no major operational challenges that cannot be overcome with planning.  </w:t>
      </w:r>
      <w:r w:rsidRPr="00F041AD">
        <w:rPr>
          <w:b/>
          <w:color w:val="333333" w:themeColor="background1"/>
        </w:rPr>
        <w:t xml:space="preserve"> </w:t>
      </w:r>
      <w:r w:rsidRPr="00F041AD">
        <w:rPr>
          <w:b/>
          <w:color w:val="333333" w:themeColor="background1"/>
        </w:rPr>
        <w:br/>
      </w:r>
    </w:p>
    <w:p w14:paraId="26CE9E74" w14:textId="77777777" w:rsidR="00B65A50" w:rsidRPr="00F041AD" w:rsidRDefault="00B65A50" w:rsidP="00F655E6">
      <w:pPr>
        <w:pStyle w:val="5BodyText"/>
        <w:numPr>
          <w:ilvl w:val="0"/>
          <w:numId w:val="73"/>
        </w:numPr>
        <w:rPr>
          <w:color w:val="333333" w:themeColor="background1"/>
        </w:rPr>
      </w:pPr>
      <w:r w:rsidRPr="00F041AD">
        <w:rPr>
          <w:b/>
          <w:color w:val="333333" w:themeColor="background1"/>
        </w:rPr>
        <w:t xml:space="preserve">Transit agencies are committed to adopting electric buses. </w:t>
      </w:r>
      <w:r w:rsidRPr="00F041AD">
        <w:rPr>
          <w:color w:val="333333" w:themeColor="background1"/>
        </w:rPr>
        <w:t xml:space="preserve">Ultimately, after demonstrating that electric buses are financially viable and operationally viable, commitments from transit agencies are made to purchase electric buses. </w:t>
      </w:r>
    </w:p>
    <w:p w14:paraId="5FA19637" w14:textId="77777777" w:rsidR="00B65A50" w:rsidRPr="00F041AD" w:rsidRDefault="00B65A50" w:rsidP="00F655E6">
      <w:pPr>
        <w:pStyle w:val="5BodyText"/>
        <w:rPr>
          <w:color w:val="333333" w:themeColor="background1"/>
        </w:rPr>
      </w:pPr>
    </w:p>
    <w:p w14:paraId="550CA029" w14:textId="77777777" w:rsidR="00B65A50" w:rsidRPr="00F041AD" w:rsidRDefault="00B65A50" w:rsidP="00F655E6">
      <w:pPr>
        <w:pStyle w:val="5BodyText"/>
        <w:rPr>
          <w:b/>
          <w:i/>
          <w:color w:val="333333" w:themeColor="background1"/>
        </w:rPr>
      </w:pPr>
      <w:r w:rsidRPr="00F041AD">
        <w:rPr>
          <w:b/>
          <w:i/>
          <w:color w:val="333333" w:themeColor="background1"/>
        </w:rPr>
        <w:t>Indicators of strategy success</w:t>
      </w:r>
    </w:p>
    <w:p w14:paraId="6069191D" w14:textId="77777777" w:rsidR="00B65A50" w:rsidRPr="00F041AD" w:rsidRDefault="00B65A50" w:rsidP="00F655E6">
      <w:pPr>
        <w:pStyle w:val="5BodyText"/>
        <w:numPr>
          <w:ilvl w:val="0"/>
          <w:numId w:val="74"/>
        </w:numPr>
        <w:rPr>
          <w:color w:val="333333" w:themeColor="background1"/>
        </w:rPr>
      </w:pPr>
      <w:r w:rsidRPr="00F041AD">
        <w:rPr>
          <w:color w:val="333333" w:themeColor="background1"/>
        </w:rPr>
        <w:t>Number of electric buses, or percentage of fleet</w:t>
      </w:r>
    </w:p>
    <w:p w14:paraId="3AF54DAB" w14:textId="77777777" w:rsidR="00B65A50" w:rsidRPr="00F041AD" w:rsidRDefault="00B65A50" w:rsidP="00F655E6">
      <w:pPr>
        <w:pStyle w:val="5BodyText"/>
        <w:numPr>
          <w:ilvl w:val="0"/>
          <w:numId w:val="74"/>
        </w:numPr>
        <w:rPr>
          <w:color w:val="333333" w:themeColor="background1"/>
        </w:rPr>
      </w:pPr>
      <w:r w:rsidRPr="00F041AD">
        <w:rPr>
          <w:color w:val="333333" w:themeColor="background1"/>
        </w:rPr>
        <w:t>Number of Minnesota transit authorities/cities/counties with electric bus programs</w:t>
      </w:r>
    </w:p>
    <w:p w14:paraId="6FB174AE" w14:textId="77777777" w:rsidR="00B65A50" w:rsidRPr="00F041AD" w:rsidRDefault="00B65A50" w:rsidP="00F655E6">
      <w:pPr>
        <w:pStyle w:val="5BodyText"/>
        <w:numPr>
          <w:ilvl w:val="0"/>
          <w:numId w:val="74"/>
        </w:numPr>
        <w:rPr>
          <w:color w:val="333333" w:themeColor="background1"/>
        </w:rPr>
      </w:pPr>
      <w:r w:rsidRPr="00F041AD">
        <w:rPr>
          <w:color w:val="333333" w:themeColor="background1"/>
        </w:rPr>
        <w:t>Electric bus miles traveled (percent of total bus miles traveled)</w:t>
      </w:r>
    </w:p>
    <w:p w14:paraId="05D63612" w14:textId="77777777" w:rsidR="00B65A50" w:rsidRPr="00F041AD" w:rsidRDefault="00B65A50" w:rsidP="00F655E6">
      <w:pPr>
        <w:pStyle w:val="5BodyText"/>
        <w:numPr>
          <w:ilvl w:val="0"/>
          <w:numId w:val="74"/>
        </w:numPr>
        <w:rPr>
          <w:color w:val="333333" w:themeColor="background1"/>
        </w:rPr>
      </w:pPr>
      <w:r w:rsidRPr="00F041AD">
        <w:rPr>
          <w:color w:val="333333" w:themeColor="background1"/>
        </w:rPr>
        <w:t>Petroleum saved (barrels of oil equivalent)</w:t>
      </w:r>
    </w:p>
    <w:p w14:paraId="3B14BEF1" w14:textId="4798AB63" w:rsidR="00B65A50" w:rsidRPr="00F041AD" w:rsidRDefault="00B65A50" w:rsidP="00F655E6">
      <w:pPr>
        <w:pStyle w:val="5BodyText"/>
        <w:numPr>
          <w:ilvl w:val="0"/>
          <w:numId w:val="74"/>
        </w:numPr>
        <w:rPr>
          <w:color w:val="333333" w:themeColor="background1"/>
        </w:rPr>
      </w:pPr>
      <w:r w:rsidRPr="00F041AD">
        <w:rPr>
          <w:color w:val="333333" w:themeColor="background1"/>
        </w:rPr>
        <w:t>Cost savings due to energy savings and operational savings (in dollars)</w:t>
      </w:r>
    </w:p>
    <w:p w14:paraId="7A528740" w14:textId="77777777" w:rsidR="00B65A50" w:rsidRPr="00F041AD" w:rsidRDefault="00B65A50" w:rsidP="00F655E6">
      <w:pPr>
        <w:pStyle w:val="5BodyText"/>
        <w:rPr>
          <w:color w:val="333333" w:themeColor="background1"/>
        </w:rPr>
      </w:pPr>
    </w:p>
    <w:p w14:paraId="25EDE6EA" w14:textId="77777777" w:rsidR="00B65A50" w:rsidRPr="00F041AD" w:rsidRDefault="00B65A50" w:rsidP="00F655E6">
      <w:pPr>
        <w:pStyle w:val="5BodyText"/>
        <w:rPr>
          <w:b/>
          <w:i/>
          <w:color w:val="333333" w:themeColor="background1"/>
        </w:rPr>
      </w:pPr>
      <w:r w:rsidRPr="00F041AD">
        <w:rPr>
          <w:b/>
          <w:i/>
          <w:color w:val="333333" w:themeColor="background1"/>
        </w:rPr>
        <w:t>Cross-sector opportunities and synergies</w:t>
      </w:r>
    </w:p>
    <w:p w14:paraId="32C05DCD" w14:textId="77777777" w:rsidR="00B65A50" w:rsidRPr="00F041AD" w:rsidRDefault="00B65A50" w:rsidP="00F655E6">
      <w:pPr>
        <w:pStyle w:val="5BodyText"/>
        <w:numPr>
          <w:ilvl w:val="0"/>
          <w:numId w:val="75"/>
        </w:numPr>
        <w:rPr>
          <w:color w:val="333333" w:themeColor="background1"/>
        </w:rPr>
      </w:pPr>
      <w:r w:rsidRPr="00F041AD">
        <w:rPr>
          <w:b/>
          <w:color w:val="333333" w:themeColor="background1"/>
        </w:rPr>
        <w:t>Green power options</w:t>
      </w:r>
      <w:r w:rsidRPr="00F041AD">
        <w:rPr>
          <w:color w:val="333333" w:themeColor="background1"/>
        </w:rPr>
        <w:t xml:space="preserve">, including programs for electric vehicle charging. Transit authorities may opt to charge their vehicles with green power and could secure a favorable rate, given the high load. </w:t>
      </w:r>
      <w:r w:rsidRPr="00F041AD">
        <w:rPr>
          <w:color w:val="333333" w:themeColor="background1"/>
        </w:rPr>
        <w:br/>
      </w:r>
    </w:p>
    <w:p w14:paraId="18DB3D31" w14:textId="77777777" w:rsidR="00B65A50" w:rsidRPr="00F041AD" w:rsidRDefault="00B65A50" w:rsidP="00F655E6">
      <w:pPr>
        <w:pStyle w:val="5BodyText"/>
        <w:numPr>
          <w:ilvl w:val="0"/>
          <w:numId w:val="75"/>
        </w:numPr>
        <w:rPr>
          <w:color w:val="333333" w:themeColor="background1"/>
        </w:rPr>
      </w:pPr>
      <w:r w:rsidRPr="00F041AD">
        <w:rPr>
          <w:b/>
          <w:color w:val="333333" w:themeColor="background1"/>
        </w:rPr>
        <w:lastRenderedPageBreak/>
        <w:t xml:space="preserve">Time-varying electricity pricing </w:t>
      </w:r>
      <w:r w:rsidRPr="00F041AD">
        <w:rPr>
          <w:color w:val="333333" w:themeColor="background1"/>
        </w:rPr>
        <w:t>could incent fleet operators to charge EVs during off-peak hours and further improve the economic case.</w:t>
      </w:r>
    </w:p>
    <w:p w14:paraId="2DC751BA" w14:textId="77777777" w:rsidR="00B65A50" w:rsidRPr="00F041AD" w:rsidRDefault="00B65A50" w:rsidP="00F655E6">
      <w:pPr>
        <w:pStyle w:val="5BodyText"/>
        <w:rPr>
          <w:color w:val="333333" w:themeColor="background1"/>
        </w:rPr>
      </w:pPr>
    </w:p>
    <w:p w14:paraId="529706A4" w14:textId="77777777" w:rsidR="00B65A50" w:rsidRPr="00F041AD" w:rsidRDefault="00B65A50" w:rsidP="00F655E6">
      <w:pPr>
        <w:pStyle w:val="5BodyText"/>
        <w:numPr>
          <w:ilvl w:val="0"/>
          <w:numId w:val="75"/>
        </w:numPr>
        <w:rPr>
          <w:color w:val="333333" w:themeColor="background1"/>
        </w:rPr>
      </w:pPr>
      <w:r w:rsidRPr="00F041AD">
        <w:rPr>
          <w:color w:val="333333" w:themeColor="background1"/>
        </w:rPr>
        <w:t xml:space="preserve">Large numbers of EVs can be used for </w:t>
      </w:r>
      <w:r w:rsidRPr="00F041AD">
        <w:rPr>
          <w:b/>
          <w:color w:val="333333" w:themeColor="background1"/>
        </w:rPr>
        <w:t>energy storage and/or demand response</w:t>
      </w:r>
      <w:r w:rsidRPr="00F041AD">
        <w:rPr>
          <w:color w:val="333333" w:themeColor="background1"/>
        </w:rPr>
        <w:t xml:space="preserve"> to improve grid operations.</w:t>
      </w:r>
      <w:r w:rsidRPr="00F041AD" w:rsidDel="00022B0D">
        <w:rPr>
          <w:color w:val="333333" w:themeColor="background1"/>
        </w:rPr>
        <w:t xml:space="preserve"> </w:t>
      </w:r>
    </w:p>
    <w:p w14:paraId="06E692A8" w14:textId="77777777" w:rsidR="00B65A50" w:rsidRPr="00F041AD" w:rsidRDefault="00B65A50" w:rsidP="00F655E6">
      <w:pPr>
        <w:pStyle w:val="5BodyText"/>
        <w:rPr>
          <w:color w:val="333333" w:themeColor="background1"/>
        </w:rPr>
      </w:pPr>
    </w:p>
    <w:p w14:paraId="5694D8AC" w14:textId="77777777" w:rsidR="00B65A50" w:rsidRPr="00F041AD" w:rsidRDefault="00B65A50" w:rsidP="00F655E6">
      <w:pPr>
        <w:pStyle w:val="5BodyText"/>
        <w:rPr>
          <w:b/>
          <w:i/>
          <w:color w:val="333333" w:themeColor="background1"/>
        </w:rPr>
      </w:pPr>
      <w:r w:rsidRPr="00F041AD">
        <w:rPr>
          <w:b/>
          <w:i/>
          <w:color w:val="333333" w:themeColor="background1"/>
        </w:rPr>
        <w:t>Ongoing Minnesota initiatives</w:t>
      </w:r>
    </w:p>
    <w:p w14:paraId="27492DAE" w14:textId="77777777" w:rsidR="00B65A50" w:rsidRPr="00F041AD" w:rsidRDefault="00B65A50" w:rsidP="00F655E6">
      <w:pPr>
        <w:pStyle w:val="5BodyText"/>
        <w:numPr>
          <w:ilvl w:val="0"/>
          <w:numId w:val="76"/>
        </w:numPr>
        <w:rPr>
          <w:color w:val="333333" w:themeColor="background1"/>
        </w:rPr>
      </w:pPr>
      <w:r w:rsidRPr="00F041AD">
        <w:rPr>
          <w:color w:val="333333" w:themeColor="background1"/>
        </w:rPr>
        <w:t xml:space="preserve">In February 2015, </w:t>
      </w:r>
      <w:hyperlink r:id="rId52" w:history="1">
        <w:r w:rsidRPr="00F041AD">
          <w:rPr>
            <w:rStyle w:val="Hyperlink"/>
            <w:color w:val="333333" w:themeColor="background1"/>
          </w:rPr>
          <w:t>Duluth</w:t>
        </w:r>
      </w:hyperlink>
      <w:r w:rsidRPr="00F041AD">
        <w:rPr>
          <w:color w:val="333333" w:themeColor="background1"/>
        </w:rPr>
        <w:t xml:space="preserve"> was awarded a Federal Transit Administration (FTA) grant of $6.3 million for six battery electric buses and two fast-charging stations. $1.1 million in local funding supplemented the FTA grant. </w:t>
      </w:r>
      <w:proofErr w:type="spellStart"/>
      <w:r w:rsidRPr="00F041AD">
        <w:rPr>
          <w:color w:val="333333" w:themeColor="background1"/>
        </w:rPr>
        <w:t>Proterra</w:t>
      </w:r>
      <w:proofErr w:type="spellEnd"/>
      <w:r w:rsidRPr="00F041AD">
        <w:rPr>
          <w:color w:val="333333" w:themeColor="background1"/>
        </w:rPr>
        <w:t xml:space="preserve"> Manufacturing in Greenville, SC is currently manufacturing the buses.</w:t>
      </w:r>
      <w:r w:rsidRPr="00F041AD">
        <w:rPr>
          <w:color w:val="333333" w:themeColor="background1"/>
          <w:vertAlign w:val="superscript"/>
        </w:rPr>
        <w:endnoteReference w:id="103"/>
      </w:r>
      <w:r w:rsidRPr="00F041AD">
        <w:rPr>
          <w:color w:val="333333" w:themeColor="background1"/>
        </w:rPr>
        <w:br/>
      </w:r>
    </w:p>
    <w:p w14:paraId="3D6A34F7" w14:textId="77777777" w:rsidR="00B65A50" w:rsidRPr="00F041AD" w:rsidRDefault="00B65A50" w:rsidP="00F655E6">
      <w:pPr>
        <w:pStyle w:val="5BodyText"/>
        <w:numPr>
          <w:ilvl w:val="0"/>
          <w:numId w:val="76"/>
        </w:numPr>
        <w:rPr>
          <w:color w:val="333333" w:themeColor="background1"/>
        </w:rPr>
      </w:pPr>
      <w:r w:rsidRPr="00F041AD">
        <w:rPr>
          <w:color w:val="333333" w:themeColor="background1"/>
        </w:rPr>
        <w:t xml:space="preserve">Metro Transit held </w:t>
      </w:r>
      <w:hyperlink r:id="rId53" w:history="1">
        <w:r w:rsidRPr="00F041AD">
          <w:rPr>
            <w:rStyle w:val="Hyperlink"/>
            <w:color w:val="333333" w:themeColor="background1"/>
          </w:rPr>
          <w:t>demonstrations of electric buses</w:t>
        </w:r>
      </w:hyperlink>
      <w:r w:rsidRPr="00F041AD">
        <w:rPr>
          <w:color w:val="333333" w:themeColor="background1"/>
        </w:rPr>
        <w:t xml:space="preserve"> in April and May of 2015.</w:t>
      </w:r>
      <w:r w:rsidRPr="00F041AD">
        <w:rPr>
          <w:color w:val="333333" w:themeColor="background1"/>
          <w:vertAlign w:val="superscript"/>
        </w:rPr>
        <w:endnoteReference w:id="104"/>
      </w:r>
      <w:r w:rsidRPr="00F041AD">
        <w:rPr>
          <w:color w:val="333333" w:themeColor="background1"/>
        </w:rPr>
        <w:br/>
      </w:r>
    </w:p>
    <w:p w14:paraId="2E7ECFE2" w14:textId="77777777" w:rsidR="00B65A50" w:rsidRPr="00F041AD" w:rsidRDefault="00B65A50" w:rsidP="00F655E6">
      <w:pPr>
        <w:pStyle w:val="5BodyText"/>
        <w:numPr>
          <w:ilvl w:val="0"/>
          <w:numId w:val="76"/>
        </w:numPr>
        <w:rPr>
          <w:color w:val="333333" w:themeColor="background1"/>
        </w:rPr>
      </w:pPr>
      <w:r w:rsidRPr="00F041AD">
        <w:rPr>
          <w:color w:val="333333" w:themeColor="background1"/>
        </w:rPr>
        <w:t>Metro Transit has applied for federal funding to procure additional EV buses to demonstrate them on a few routes.</w:t>
      </w:r>
    </w:p>
    <w:p w14:paraId="51F9D702" w14:textId="77777777" w:rsidR="00B65A50" w:rsidRPr="00F041AD" w:rsidRDefault="00B65A50" w:rsidP="00F655E6">
      <w:pPr>
        <w:pStyle w:val="5BodyText"/>
        <w:rPr>
          <w:color w:val="333333" w:themeColor="background1"/>
        </w:rPr>
      </w:pPr>
    </w:p>
    <w:p w14:paraId="78BA539F" w14:textId="77777777" w:rsidR="00B65A50" w:rsidRPr="00F041AD" w:rsidRDefault="00B65A50" w:rsidP="00F655E6">
      <w:pPr>
        <w:pStyle w:val="5BodyText"/>
        <w:rPr>
          <w:b/>
          <w:i/>
          <w:color w:val="333333" w:themeColor="background1"/>
        </w:rPr>
      </w:pPr>
      <w:r w:rsidRPr="00F041AD">
        <w:rPr>
          <w:b/>
          <w:i/>
          <w:color w:val="333333" w:themeColor="background1"/>
        </w:rPr>
        <w:t>Other related resources</w:t>
      </w:r>
    </w:p>
    <w:p w14:paraId="1F26EA2F" w14:textId="77777777" w:rsidR="00B65A50" w:rsidRPr="00F041AD" w:rsidRDefault="00B65A50" w:rsidP="00F655E6">
      <w:pPr>
        <w:pStyle w:val="5BodyText"/>
        <w:numPr>
          <w:ilvl w:val="0"/>
          <w:numId w:val="77"/>
        </w:numPr>
        <w:rPr>
          <w:color w:val="333333" w:themeColor="background1"/>
        </w:rPr>
      </w:pPr>
      <w:r w:rsidRPr="00F041AD">
        <w:rPr>
          <w:color w:val="333333" w:themeColor="background1"/>
        </w:rPr>
        <w:t xml:space="preserve">The </w:t>
      </w:r>
      <w:hyperlink r:id="rId54" w:history="1">
        <w:r w:rsidRPr="00F041AD">
          <w:rPr>
            <w:rStyle w:val="Hyperlink"/>
            <w:color w:val="333333" w:themeColor="background1"/>
          </w:rPr>
          <w:t>Antelope Valley Transit Authority</w:t>
        </w:r>
      </w:hyperlink>
      <w:r w:rsidRPr="00F041AD">
        <w:rPr>
          <w:color w:val="333333" w:themeColor="background1"/>
        </w:rPr>
        <w:t xml:space="preserve"> in California announced in 2016 its commitment to become the first 100 percent electric bus fleet in the US within two years.</w:t>
      </w:r>
      <w:r w:rsidRPr="00F041AD">
        <w:rPr>
          <w:rStyle w:val="EndnoteReference"/>
          <w:color w:val="333333" w:themeColor="background1"/>
        </w:rPr>
        <w:endnoteReference w:id="105"/>
      </w:r>
      <w:r w:rsidRPr="00F041AD">
        <w:rPr>
          <w:color w:val="333333" w:themeColor="background1"/>
        </w:rPr>
        <w:br/>
      </w:r>
    </w:p>
    <w:p w14:paraId="32F2C473" w14:textId="77777777" w:rsidR="00B65A50" w:rsidRPr="00F041AD" w:rsidRDefault="00B65A50" w:rsidP="00F655E6">
      <w:pPr>
        <w:pStyle w:val="5BodyText"/>
        <w:numPr>
          <w:ilvl w:val="0"/>
          <w:numId w:val="77"/>
        </w:numPr>
        <w:rPr>
          <w:color w:val="333333" w:themeColor="background1"/>
        </w:rPr>
      </w:pPr>
      <w:r w:rsidRPr="00F041AD">
        <w:rPr>
          <w:color w:val="333333" w:themeColor="background1"/>
        </w:rPr>
        <w:t xml:space="preserve">The </w:t>
      </w:r>
      <w:hyperlink r:id="rId55" w:history="1">
        <w:r w:rsidRPr="00F041AD">
          <w:rPr>
            <w:rStyle w:val="Hyperlink"/>
            <w:color w:val="333333" w:themeColor="background1"/>
          </w:rPr>
          <w:t>Chicago Transit Authority</w:t>
        </w:r>
      </w:hyperlink>
      <w:r w:rsidRPr="00F041AD">
        <w:rPr>
          <w:color w:val="333333" w:themeColor="background1"/>
        </w:rPr>
        <w:t xml:space="preserve"> is expanding its current electric bus pilot program.</w:t>
      </w:r>
      <w:r w:rsidRPr="00F041AD">
        <w:rPr>
          <w:rStyle w:val="EndnoteReference"/>
          <w:color w:val="333333" w:themeColor="background1"/>
        </w:rPr>
        <w:endnoteReference w:id="106"/>
      </w:r>
      <w:r w:rsidRPr="00F041AD">
        <w:rPr>
          <w:color w:val="333333" w:themeColor="background1"/>
        </w:rPr>
        <w:br/>
      </w:r>
    </w:p>
    <w:p w14:paraId="26672C2C" w14:textId="77777777" w:rsidR="00B65A50" w:rsidRPr="00F041AD" w:rsidRDefault="00B65A50" w:rsidP="00F655E6">
      <w:pPr>
        <w:pStyle w:val="5BodyText"/>
        <w:numPr>
          <w:ilvl w:val="0"/>
          <w:numId w:val="77"/>
        </w:numPr>
        <w:rPr>
          <w:color w:val="333333" w:themeColor="background1"/>
        </w:rPr>
      </w:pPr>
      <w:r w:rsidRPr="00F041AD">
        <w:rPr>
          <w:color w:val="333333" w:themeColor="background1"/>
        </w:rPr>
        <w:t xml:space="preserve">Transit agencies in cold-weather European cities including </w:t>
      </w:r>
      <w:hyperlink r:id="rId56" w:history="1">
        <w:r w:rsidRPr="00F041AD">
          <w:rPr>
            <w:rStyle w:val="Hyperlink"/>
            <w:color w:val="333333" w:themeColor="background1"/>
          </w:rPr>
          <w:t>Copenhagen</w:t>
        </w:r>
      </w:hyperlink>
      <w:r w:rsidRPr="00F041AD">
        <w:rPr>
          <w:color w:val="333333" w:themeColor="background1"/>
        </w:rPr>
        <w:t xml:space="preserve"> and </w:t>
      </w:r>
      <w:hyperlink r:id="rId57" w:history="1">
        <w:r w:rsidRPr="00F041AD">
          <w:rPr>
            <w:rStyle w:val="Hyperlink"/>
            <w:color w:val="333333" w:themeColor="background1"/>
          </w:rPr>
          <w:t>Helsinki</w:t>
        </w:r>
      </w:hyperlink>
      <w:r w:rsidRPr="00F041AD">
        <w:rPr>
          <w:color w:val="333333" w:themeColor="background1"/>
        </w:rPr>
        <w:t xml:space="preserve"> are currently demonstrating electric buses.</w:t>
      </w:r>
      <w:r w:rsidRPr="00F041AD">
        <w:rPr>
          <w:rStyle w:val="EndnoteReference"/>
          <w:color w:val="333333" w:themeColor="background1"/>
        </w:rPr>
        <w:endnoteReference w:id="107"/>
      </w:r>
      <w:r w:rsidRPr="00F041AD">
        <w:rPr>
          <w:color w:val="333333" w:themeColor="background1"/>
        </w:rPr>
        <w:t xml:space="preserve"> </w:t>
      </w:r>
      <w:r w:rsidRPr="00F041AD">
        <w:rPr>
          <w:rStyle w:val="EndnoteReference"/>
          <w:color w:val="333333" w:themeColor="background1"/>
        </w:rPr>
        <w:endnoteReference w:id="108"/>
      </w:r>
      <w:r w:rsidRPr="00F041AD">
        <w:rPr>
          <w:color w:val="333333" w:themeColor="background1"/>
        </w:rPr>
        <w:t xml:space="preserve"> </w:t>
      </w:r>
    </w:p>
    <w:p w14:paraId="5F1656E5" w14:textId="77777777" w:rsidR="00B65A50" w:rsidRPr="00F041AD" w:rsidRDefault="00B65A50" w:rsidP="00F655E6">
      <w:pPr>
        <w:pStyle w:val="5BodyText"/>
        <w:rPr>
          <w:color w:val="333333" w:themeColor="background1"/>
        </w:rPr>
      </w:pPr>
    </w:p>
    <w:p w14:paraId="4CC7FC00" w14:textId="64447C64" w:rsidR="00B65A50" w:rsidRPr="00F041AD" w:rsidRDefault="00B65A50" w:rsidP="00F655E6">
      <w:pPr>
        <w:pStyle w:val="5BodyText"/>
        <w:numPr>
          <w:ilvl w:val="0"/>
          <w:numId w:val="77"/>
        </w:numPr>
        <w:rPr>
          <w:color w:val="333333" w:themeColor="background1"/>
        </w:rPr>
      </w:pPr>
      <w:r w:rsidRPr="00F041AD">
        <w:rPr>
          <w:color w:val="333333" w:themeColor="background1"/>
        </w:rPr>
        <w:t xml:space="preserve">The US DOE’s </w:t>
      </w:r>
      <w:hyperlink r:id="rId58" w:history="1">
        <w:r w:rsidRPr="00F041AD">
          <w:rPr>
            <w:rStyle w:val="Hyperlink"/>
            <w:color w:val="333333" w:themeColor="background1"/>
          </w:rPr>
          <w:t>Alternative Fuels Data Center</w:t>
        </w:r>
      </w:hyperlink>
      <w:r w:rsidRPr="00F041AD">
        <w:rPr>
          <w:color w:val="333333" w:themeColor="background1"/>
        </w:rPr>
        <w:t xml:space="preserve"> compiles information on multiple policies and programs from across the nation that federal, state, and local jurisdictions are using to promote adoption of alternative fuel vehicles, including electric buses.</w:t>
      </w:r>
      <w:r w:rsidRPr="00F041AD">
        <w:rPr>
          <w:rStyle w:val="EndnoteReference"/>
          <w:color w:val="333333" w:themeColor="background1"/>
        </w:rPr>
        <w:endnoteReference w:id="109"/>
      </w:r>
      <w:r w:rsidRPr="00F041AD">
        <w:rPr>
          <w:color w:val="333333" w:themeColor="background1"/>
        </w:rPr>
        <w:t xml:space="preserve"> </w:t>
      </w:r>
    </w:p>
    <w:p w14:paraId="794786A7" w14:textId="77777777" w:rsidR="00163B35" w:rsidRPr="00F041AD" w:rsidRDefault="00163B35" w:rsidP="007F3F44">
      <w:pPr>
        <w:pStyle w:val="6BodyHighlight"/>
        <w:rPr>
          <w:color w:val="333333" w:themeColor="background1"/>
        </w:rPr>
      </w:pPr>
      <w:bookmarkStart w:id="135" w:name="h.fqwfg02ajsc5" w:colFirst="0" w:colLast="0"/>
      <w:bookmarkStart w:id="136" w:name="h.3dy6vkm" w:colFirst="0" w:colLast="0"/>
      <w:bookmarkStart w:id="137" w:name="h.1t3h5sf" w:colFirst="0" w:colLast="0"/>
      <w:bookmarkStart w:id="138" w:name="h.4d34og8" w:colFirst="0" w:colLast="0"/>
      <w:bookmarkStart w:id="139" w:name="h.m5tkworkb0y8" w:colFirst="0" w:colLast="0"/>
      <w:bookmarkStart w:id="140" w:name="_Toc318126162"/>
      <w:bookmarkStart w:id="141" w:name="_Toc319794267"/>
      <w:bookmarkEnd w:id="135"/>
      <w:bookmarkEnd w:id="136"/>
      <w:bookmarkEnd w:id="137"/>
      <w:bookmarkEnd w:id="138"/>
      <w:bookmarkEnd w:id="139"/>
    </w:p>
    <w:p w14:paraId="455CD2CA" w14:textId="2D051C3D" w:rsidR="00B65A50" w:rsidRPr="00F041AD" w:rsidRDefault="00725676" w:rsidP="004C45CB">
      <w:pPr>
        <w:pStyle w:val="StrategyName"/>
      </w:pPr>
      <w:bookmarkStart w:id="142" w:name="_Toc322961626"/>
      <w:bookmarkStart w:id="143" w:name="_Toc322962035"/>
      <w:bookmarkStart w:id="144" w:name="_Toc322962222"/>
      <w:r>
        <w:t>A4</w:t>
      </w:r>
      <w:r w:rsidR="00B65A50" w:rsidRPr="00F041AD">
        <w:t>. Increase adoption of alternative-fuel heavy-duty vehicles</w:t>
      </w:r>
      <w:bookmarkEnd w:id="140"/>
      <w:bookmarkEnd w:id="141"/>
      <w:bookmarkEnd w:id="142"/>
      <w:bookmarkEnd w:id="143"/>
      <w:bookmarkEnd w:id="144"/>
    </w:p>
    <w:p w14:paraId="150F719E" w14:textId="77777777" w:rsidR="00B65A50" w:rsidRPr="00F041AD" w:rsidRDefault="00B65A50" w:rsidP="00F655E6">
      <w:pPr>
        <w:pStyle w:val="5BodyText"/>
        <w:rPr>
          <w:color w:val="333333" w:themeColor="background1"/>
        </w:rPr>
      </w:pPr>
    </w:p>
    <w:p w14:paraId="0C8672E6" w14:textId="77777777" w:rsidR="00B65A50" w:rsidRPr="00F041AD" w:rsidRDefault="00B65A50" w:rsidP="00F655E6">
      <w:pPr>
        <w:pStyle w:val="5BodyText"/>
        <w:rPr>
          <w:b/>
          <w:i/>
          <w:color w:val="333333" w:themeColor="background1"/>
        </w:rPr>
      </w:pPr>
      <w:r w:rsidRPr="00F041AD">
        <w:rPr>
          <w:b/>
          <w:i/>
          <w:color w:val="333333" w:themeColor="background1"/>
        </w:rPr>
        <w:t>Strategy overview</w:t>
      </w:r>
    </w:p>
    <w:p w14:paraId="1CF29362" w14:textId="77777777" w:rsidR="00B65A50" w:rsidRPr="00F041AD" w:rsidRDefault="00B65A50" w:rsidP="00F655E6">
      <w:pPr>
        <w:pStyle w:val="5BodyText"/>
        <w:rPr>
          <w:color w:val="333333" w:themeColor="background1"/>
        </w:rPr>
      </w:pPr>
      <w:r w:rsidRPr="00F041AD">
        <w:rPr>
          <w:color w:val="333333" w:themeColor="background1"/>
        </w:rPr>
        <w:t xml:space="preserve">Even with recent advances in technology and cost, electric vehicles may not be appropriate for some drivers. In particular, drivers with needs for long range and/or heavier duty vehicles may not find a suitable or cost-effective EV option. In these cases, alternative fuels, including compressed natural gas (CNG) and/or liquid natural gas (LNG), are a lever for reduced emissions. </w:t>
      </w:r>
    </w:p>
    <w:p w14:paraId="210CE86D" w14:textId="77777777" w:rsidR="00B65A50" w:rsidRPr="00F041AD" w:rsidRDefault="00B65A50" w:rsidP="00F655E6">
      <w:pPr>
        <w:pStyle w:val="5BodyText"/>
        <w:rPr>
          <w:color w:val="333333" w:themeColor="background1"/>
        </w:rPr>
      </w:pPr>
    </w:p>
    <w:p w14:paraId="073D5E90" w14:textId="77777777" w:rsidR="00B65A50" w:rsidRPr="00F041AD" w:rsidRDefault="00B65A50" w:rsidP="00F655E6">
      <w:pPr>
        <w:pStyle w:val="5BodyText"/>
        <w:rPr>
          <w:color w:val="333333" w:themeColor="background1"/>
        </w:rPr>
      </w:pPr>
      <w:r w:rsidRPr="00F041AD">
        <w:rPr>
          <w:color w:val="333333" w:themeColor="background1"/>
        </w:rPr>
        <w:lastRenderedPageBreak/>
        <w:t>In particular, natural gas produced from bio-based sources and then compressed for vehicle use, known as bio-based CNG or renewable natural gas (RNG), has significant emissions savings potential. Increasing adoption of bio-based CNG-powered vehicles can also help build the market for Minnesota industries that provide these fuels (see, for example, the recommendations in the Industry &amp; Agriculture chapter of this report).</w:t>
      </w:r>
      <w:r w:rsidRPr="00F041AD">
        <w:rPr>
          <w:color w:val="333333" w:themeColor="background1"/>
        </w:rPr>
        <w:br/>
      </w:r>
    </w:p>
    <w:p w14:paraId="5861804B" w14:textId="77777777" w:rsidR="00B65A50" w:rsidRPr="00F041AD" w:rsidRDefault="00B65A50" w:rsidP="00F655E6">
      <w:pPr>
        <w:pStyle w:val="5BodyText"/>
        <w:rPr>
          <w:color w:val="333333" w:themeColor="background1"/>
        </w:rPr>
      </w:pPr>
      <w:r w:rsidRPr="00F041AD">
        <w:rPr>
          <w:color w:val="333333" w:themeColor="background1"/>
        </w:rPr>
        <w:t>Given the relevance to Minnesota drivers and industries, stakeholders have identified this strategy as an important lever to reduce emissions from vehicles whose duty cycle could not easily be met by an electric alternative.</w:t>
      </w:r>
    </w:p>
    <w:p w14:paraId="2F83B01D" w14:textId="77777777" w:rsidR="00B65A50" w:rsidRPr="00F041AD" w:rsidRDefault="00B65A50" w:rsidP="00F655E6">
      <w:pPr>
        <w:pStyle w:val="5BodyText"/>
        <w:rPr>
          <w:color w:val="333333" w:themeColor="background1"/>
        </w:rPr>
      </w:pPr>
    </w:p>
    <w:p w14:paraId="6A080D78" w14:textId="77777777" w:rsidR="00B65A50" w:rsidRPr="00F041AD" w:rsidRDefault="00B65A50" w:rsidP="00F655E6">
      <w:pPr>
        <w:pStyle w:val="5BodyText"/>
        <w:rPr>
          <w:b/>
          <w:i/>
          <w:color w:val="333333" w:themeColor="background1"/>
        </w:rPr>
      </w:pPr>
      <w:r w:rsidRPr="00F041AD">
        <w:rPr>
          <w:b/>
          <w:i/>
          <w:color w:val="333333" w:themeColor="background1"/>
        </w:rPr>
        <w:t>Specific actions for strategy implementation</w:t>
      </w:r>
    </w:p>
    <w:p w14:paraId="51F992A1" w14:textId="77777777" w:rsidR="00B65A50" w:rsidRPr="00F041AD" w:rsidRDefault="00B65A50" w:rsidP="00F655E6">
      <w:pPr>
        <w:pStyle w:val="5BodyText"/>
        <w:numPr>
          <w:ilvl w:val="0"/>
          <w:numId w:val="78"/>
        </w:numPr>
        <w:rPr>
          <w:color w:val="333333" w:themeColor="background1"/>
        </w:rPr>
      </w:pPr>
      <w:r w:rsidRPr="00F041AD">
        <w:rPr>
          <w:b/>
          <w:color w:val="333333" w:themeColor="background1"/>
        </w:rPr>
        <w:t xml:space="preserve">Promote natural gas sourced from anaerobic digestion in heavy-duty vehicles. </w:t>
      </w:r>
      <w:r w:rsidRPr="00F041AD">
        <w:rPr>
          <w:color w:val="333333" w:themeColor="background1"/>
        </w:rPr>
        <w:t>Anaerobic digestion to produce bio-based CNG is a large, untapped resource in Minnesota, and would provide a low-carbon fuel option for heavy-duty vehicles. Bio-based CNG can be produced within Minnesota from local resources, offering the potential for economic development and keeping energy expenditures within the state economy.</w:t>
      </w:r>
      <w:r w:rsidRPr="00F041AD">
        <w:rPr>
          <w:color w:val="333333" w:themeColor="background1"/>
        </w:rPr>
        <w:br/>
      </w:r>
      <w:r w:rsidRPr="00F041AD">
        <w:rPr>
          <w:color w:val="333333" w:themeColor="background1"/>
        </w:rPr>
        <w:br/>
      </w:r>
      <w:r w:rsidRPr="00F041AD">
        <w:rPr>
          <w:b/>
          <w:color w:val="333333" w:themeColor="background1"/>
        </w:rPr>
        <w:t>Champion/Key Participants</w:t>
      </w:r>
      <w:r w:rsidRPr="00F041AD">
        <w:rPr>
          <w:color w:val="333333" w:themeColor="background1"/>
        </w:rPr>
        <w:t xml:space="preserve">: </w:t>
      </w:r>
    </w:p>
    <w:p w14:paraId="6E7B02C0" w14:textId="77777777" w:rsidR="00B65A50" w:rsidRPr="00F041AD" w:rsidRDefault="00B65A50" w:rsidP="00F655E6">
      <w:pPr>
        <w:pStyle w:val="5BodyText"/>
        <w:ind w:left="720"/>
        <w:rPr>
          <w:color w:val="333333" w:themeColor="background1"/>
        </w:rPr>
      </w:pPr>
      <w:r w:rsidRPr="00F041AD">
        <w:rPr>
          <w:color w:val="333333" w:themeColor="background1"/>
        </w:rPr>
        <w:t xml:space="preserve">- Metropolitan Council </w:t>
      </w:r>
      <w:r w:rsidRPr="00F041AD">
        <w:rPr>
          <w:color w:val="333333" w:themeColor="background1"/>
        </w:rPr>
        <w:br/>
        <w:t>- Fleet partners</w:t>
      </w:r>
    </w:p>
    <w:p w14:paraId="00257EE8" w14:textId="77777777" w:rsidR="00B65A50" w:rsidRPr="00F041AD" w:rsidRDefault="00B65A50" w:rsidP="00F655E6">
      <w:pPr>
        <w:pStyle w:val="5BodyText"/>
        <w:ind w:left="720"/>
        <w:rPr>
          <w:color w:val="333333" w:themeColor="background1"/>
        </w:rPr>
      </w:pPr>
      <w:r w:rsidRPr="00F041AD">
        <w:rPr>
          <w:color w:val="333333" w:themeColor="background1"/>
        </w:rPr>
        <w:t>- Counties involved in municipal solid waste-based anaerobic digestion projects</w:t>
      </w:r>
    </w:p>
    <w:p w14:paraId="39824733" w14:textId="77777777" w:rsidR="00B65A50" w:rsidRPr="00F041AD" w:rsidRDefault="00B65A50" w:rsidP="00F655E6">
      <w:pPr>
        <w:pStyle w:val="5BodyText"/>
        <w:ind w:left="720"/>
        <w:rPr>
          <w:color w:val="333333" w:themeColor="background1"/>
        </w:rPr>
      </w:pPr>
      <w:r w:rsidRPr="00F041AD">
        <w:rPr>
          <w:color w:val="333333" w:themeColor="background1"/>
        </w:rPr>
        <w:t>- Agriculture processors</w:t>
      </w:r>
    </w:p>
    <w:p w14:paraId="55F23CDB" w14:textId="77777777" w:rsidR="00B65A50" w:rsidRPr="00F041AD" w:rsidRDefault="00B65A50" w:rsidP="00F655E6">
      <w:pPr>
        <w:pStyle w:val="5BodyText"/>
        <w:ind w:left="720"/>
        <w:rPr>
          <w:color w:val="333333" w:themeColor="background1"/>
        </w:rPr>
      </w:pPr>
      <w:r w:rsidRPr="00F041AD">
        <w:rPr>
          <w:color w:val="333333" w:themeColor="background1"/>
        </w:rPr>
        <w:t xml:space="preserve">- </w:t>
      </w:r>
      <w:proofErr w:type="spellStart"/>
      <w:r w:rsidRPr="00F041AD">
        <w:rPr>
          <w:color w:val="333333" w:themeColor="background1"/>
        </w:rPr>
        <w:t>Centerpoint</w:t>
      </w:r>
      <w:proofErr w:type="spellEnd"/>
      <w:r w:rsidRPr="00F041AD">
        <w:rPr>
          <w:color w:val="333333" w:themeColor="background1"/>
        </w:rPr>
        <w:t xml:space="preserve"> Energy</w:t>
      </w:r>
    </w:p>
    <w:p w14:paraId="491570CE" w14:textId="77777777" w:rsidR="00B65A50" w:rsidRPr="00F041AD" w:rsidRDefault="00B65A50" w:rsidP="00F655E6">
      <w:pPr>
        <w:pStyle w:val="5BodyText"/>
        <w:rPr>
          <w:color w:val="333333" w:themeColor="background1"/>
        </w:rPr>
      </w:pPr>
    </w:p>
    <w:p w14:paraId="5695611B" w14:textId="77777777" w:rsidR="00B65A50" w:rsidRPr="00F041AD" w:rsidRDefault="00B65A50" w:rsidP="00F655E6">
      <w:pPr>
        <w:pStyle w:val="5BodyText"/>
        <w:rPr>
          <w:b/>
          <w:i/>
          <w:color w:val="333333" w:themeColor="background1"/>
        </w:rPr>
      </w:pPr>
      <w:r w:rsidRPr="00F041AD">
        <w:rPr>
          <w:b/>
          <w:i/>
          <w:color w:val="333333" w:themeColor="background1"/>
        </w:rPr>
        <w:t>Success factors</w:t>
      </w:r>
    </w:p>
    <w:p w14:paraId="3BBB3395" w14:textId="77777777" w:rsidR="00B65A50" w:rsidRPr="00F041AD" w:rsidRDefault="00B65A50" w:rsidP="00F655E6">
      <w:pPr>
        <w:pStyle w:val="5BodyText"/>
        <w:numPr>
          <w:ilvl w:val="0"/>
          <w:numId w:val="79"/>
        </w:numPr>
        <w:rPr>
          <w:color w:val="333333" w:themeColor="background1"/>
        </w:rPr>
      </w:pPr>
      <w:r w:rsidRPr="00F041AD">
        <w:rPr>
          <w:b/>
          <w:color w:val="333333" w:themeColor="background1"/>
        </w:rPr>
        <w:t xml:space="preserve">Refueling infrastructure is in place. </w:t>
      </w:r>
      <w:r w:rsidRPr="00F041AD">
        <w:rPr>
          <w:color w:val="333333" w:themeColor="background1"/>
        </w:rPr>
        <w:t>Heavy-duty vehicles have reliable access to CNG/LNG refueling stations without an excessive burden on their routing or duty cycle.</w:t>
      </w:r>
    </w:p>
    <w:p w14:paraId="17B6AEC0" w14:textId="77777777" w:rsidR="00B65A50" w:rsidRPr="00F041AD" w:rsidRDefault="00B65A50" w:rsidP="00F655E6">
      <w:pPr>
        <w:pStyle w:val="5BodyText"/>
        <w:rPr>
          <w:color w:val="333333" w:themeColor="background1"/>
        </w:rPr>
      </w:pPr>
    </w:p>
    <w:p w14:paraId="565ACA80" w14:textId="77777777" w:rsidR="00B65A50" w:rsidRPr="00F041AD" w:rsidRDefault="00B65A50" w:rsidP="00F655E6">
      <w:pPr>
        <w:pStyle w:val="5BodyText"/>
        <w:rPr>
          <w:b/>
          <w:i/>
          <w:color w:val="333333" w:themeColor="background1"/>
        </w:rPr>
      </w:pPr>
      <w:r w:rsidRPr="00F041AD">
        <w:rPr>
          <w:b/>
          <w:i/>
          <w:color w:val="333333" w:themeColor="background1"/>
        </w:rPr>
        <w:t>Indicators of strategy success</w:t>
      </w:r>
    </w:p>
    <w:p w14:paraId="741766AA" w14:textId="77777777" w:rsidR="00B65A50" w:rsidRPr="00F041AD" w:rsidRDefault="00B65A50" w:rsidP="00F655E6">
      <w:pPr>
        <w:pStyle w:val="5BodyText"/>
        <w:numPr>
          <w:ilvl w:val="0"/>
          <w:numId w:val="80"/>
        </w:numPr>
        <w:rPr>
          <w:color w:val="333333" w:themeColor="background1"/>
        </w:rPr>
      </w:pPr>
      <w:r w:rsidRPr="00F041AD">
        <w:rPr>
          <w:color w:val="333333" w:themeColor="background1"/>
        </w:rPr>
        <w:t>Number of bio-based CNG-powered vehicle sales and fueling stations built</w:t>
      </w:r>
    </w:p>
    <w:p w14:paraId="40CA839D" w14:textId="77777777" w:rsidR="00B65A50" w:rsidRPr="00F041AD" w:rsidRDefault="00B65A50" w:rsidP="00F655E6">
      <w:pPr>
        <w:pStyle w:val="5BodyText"/>
        <w:numPr>
          <w:ilvl w:val="0"/>
          <w:numId w:val="80"/>
        </w:numPr>
        <w:rPr>
          <w:color w:val="333333" w:themeColor="background1"/>
        </w:rPr>
      </w:pPr>
      <w:proofErr w:type="spellStart"/>
      <w:r w:rsidRPr="00F041AD">
        <w:rPr>
          <w:color w:val="333333" w:themeColor="background1"/>
        </w:rPr>
        <w:t>MMbtus</w:t>
      </w:r>
      <w:proofErr w:type="spellEnd"/>
      <w:r w:rsidRPr="00F041AD">
        <w:rPr>
          <w:color w:val="333333" w:themeColor="background1"/>
        </w:rPr>
        <w:t xml:space="preserve"> of bio-based CNG produced and used in vehicles.</w:t>
      </w:r>
    </w:p>
    <w:p w14:paraId="3428019E" w14:textId="77777777" w:rsidR="00B65A50" w:rsidRPr="00F041AD" w:rsidRDefault="00B65A50" w:rsidP="00F655E6">
      <w:pPr>
        <w:pStyle w:val="5BodyText"/>
        <w:rPr>
          <w:color w:val="333333" w:themeColor="background1"/>
        </w:rPr>
      </w:pPr>
    </w:p>
    <w:p w14:paraId="7DD2CD3B" w14:textId="77777777" w:rsidR="00B65A50" w:rsidRPr="00F041AD" w:rsidRDefault="00B65A50" w:rsidP="00F655E6">
      <w:pPr>
        <w:pStyle w:val="5BodyText"/>
        <w:rPr>
          <w:b/>
          <w:i/>
          <w:color w:val="333333" w:themeColor="background1"/>
        </w:rPr>
      </w:pPr>
      <w:r w:rsidRPr="00F041AD">
        <w:rPr>
          <w:b/>
          <w:i/>
          <w:color w:val="333333" w:themeColor="background1"/>
        </w:rPr>
        <w:t>Cross-sector opportunities and synergies</w:t>
      </w:r>
    </w:p>
    <w:p w14:paraId="1B18518A" w14:textId="77777777" w:rsidR="00B65A50" w:rsidRPr="00F041AD" w:rsidRDefault="00B65A50" w:rsidP="00F655E6">
      <w:pPr>
        <w:pStyle w:val="5BodyText"/>
        <w:numPr>
          <w:ilvl w:val="0"/>
          <w:numId w:val="81"/>
        </w:numPr>
        <w:rPr>
          <w:color w:val="333333" w:themeColor="background1"/>
        </w:rPr>
      </w:pPr>
      <w:r w:rsidRPr="00F041AD">
        <w:rPr>
          <w:color w:val="333333" w:themeColor="background1"/>
        </w:rPr>
        <w:t xml:space="preserve">Increased production of renewable natural gas from organic feedstocks using </w:t>
      </w:r>
      <w:r w:rsidRPr="00F041AD">
        <w:rPr>
          <w:b/>
          <w:color w:val="333333" w:themeColor="background1"/>
        </w:rPr>
        <w:t>anaerobic digestion</w:t>
      </w:r>
      <w:r w:rsidRPr="00F041AD">
        <w:rPr>
          <w:color w:val="333333" w:themeColor="background1"/>
        </w:rPr>
        <w:t xml:space="preserve"> offer a supply for passenger, heavy-duty, and fleet vehicles.</w:t>
      </w:r>
    </w:p>
    <w:p w14:paraId="0EFCCD6A" w14:textId="77777777" w:rsidR="00B65A50" w:rsidRPr="00F041AD" w:rsidRDefault="00B65A50" w:rsidP="00F655E6">
      <w:pPr>
        <w:pStyle w:val="5BodyText"/>
        <w:numPr>
          <w:ilvl w:val="0"/>
          <w:numId w:val="81"/>
        </w:numPr>
        <w:rPr>
          <w:color w:val="333333" w:themeColor="background1"/>
        </w:rPr>
      </w:pPr>
      <w:r w:rsidRPr="00F041AD">
        <w:rPr>
          <w:color w:val="333333" w:themeColor="background1"/>
        </w:rPr>
        <w:lastRenderedPageBreak/>
        <w:t xml:space="preserve">Implementation of a voluntary pilot program for natural gas </w:t>
      </w:r>
      <w:r w:rsidRPr="00F041AD">
        <w:rPr>
          <w:b/>
          <w:color w:val="333333" w:themeColor="background1"/>
        </w:rPr>
        <w:t>green pricing</w:t>
      </w:r>
      <w:r w:rsidRPr="00F041AD">
        <w:rPr>
          <w:color w:val="333333" w:themeColor="background1"/>
        </w:rPr>
        <w:t xml:space="preserve"> programs can help to facilitate renewable natural gas to market.</w:t>
      </w:r>
    </w:p>
    <w:p w14:paraId="13610A6A" w14:textId="77777777" w:rsidR="00B65A50" w:rsidRPr="00F041AD" w:rsidRDefault="00B65A50" w:rsidP="00F655E6">
      <w:pPr>
        <w:pStyle w:val="5BodyText"/>
        <w:rPr>
          <w:b/>
          <w:i/>
          <w:color w:val="333333" w:themeColor="background1"/>
        </w:rPr>
      </w:pPr>
    </w:p>
    <w:p w14:paraId="0CD9531C" w14:textId="77777777" w:rsidR="00B65A50" w:rsidRPr="00F041AD" w:rsidRDefault="00B65A50" w:rsidP="00F655E6">
      <w:pPr>
        <w:pStyle w:val="5BodyText"/>
        <w:rPr>
          <w:b/>
          <w:i/>
          <w:color w:val="333333" w:themeColor="background1"/>
        </w:rPr>
      </w:pPr>
      <w:r w:rsidRPr="00F041AD">
        <w:rPr>
          <w:b/>
          <w:i/>
          <w:color w:val="333333" w:themeColor="background1"/>
        </w:rPr>
        <w:t>Ongoing Minnesota initiatives</w:t>
      </w:r>
    </w:p>
    <w:p w14:paraId="08562168" w14:textId="77777777" w:rsidR="00B65A50" w:rsidRPr="00F041AD" w:rsidRDefault="00B65A50" w:rsidP="00F655E6">
      <w:pPr>
        <w:pStyle w:val="5BodyText"/>
        <w:numPr>
          <w:ilvl w:val="0"/>
          <w:numId w:val="82"/>
        </w:numPr>
        <w:rPr>
          <w:color w:val="333333" w:themeColor="background1"/>
        </w:rPr>
      </w:pPr>
      <w:bookmarkStart w:id="145" w:name="h.wd9us0e4e61d" w:colFirst="0" w:colLast="0"/>
      <w:bookmarkEnd w:id="145"/>
      <w:r w:rsidRPr="00F041AD">
        <w:rPr>
          <w:color w:val="333333" w:themeColor="background1"/>
        </w:rPr>
        <w:t xml:space="preserve">Minnesota has </w:t>
      </w:r>
      <w:hyperlink r:id="rId59" w:history="1">
        <w:r w:rsidRPr="00F041AD">
          <w:rPr>
            <w:rStyle w:val="Hyperlink"/>
            <w:color w:val="333333" w:themeColor="background1"/>
          </w:rPr>
          <w:t>15 existing CNG fueling stations</w:t>
        </w:r>
      </w:hyperlink>
      <w:r w:rsidRPr="00F041AD">
        <w:rPr>
          <w:color w:val="333333" w:themeColor="background1"/>
        </w:rPr>
        <w:t xml:space="preserve"> as of March 2016.</w:t>
      </w:r>
      <w:r w:rsidRPr="00F041AD">
        <w:rPr>
          <w:rStyle w:val="EndnoteReference"/>
          <w:color w:val="333333" w:themeColor="background1"/>
        </w:rPr>
        <w:endnoteReference w:id="110"/>
      </w:r>
    </w:p>
    <w:p w14:paraId="6B4C4A27" w14:textId="77777777" w:rsidR="00B65A50" w:rsidRPr="00F041AD" w:rsidRDefault="00B65A50" w:rsidP="00F655E6">
      <w:pPr>
        <w:pStyle w:val="5BodyText"/>
        <w:rPr>
          <w:color w:val="333333" w:themeColor="background1"/>
        </w:rPr>
      </w:pPr>
    </w:p>
    <w:p w14:paraId="68C59CEC" w14:textId="77777777" w:rsidR="00B65A50" w:rsidRPr="00F041AD" w:rsidRDefault="00B65A50" w:rsidP="00F655E6">
      <w:pPr>
        <w:pStyle w:val="5BodyText"/>
        <w:rPr>
          <w:b/>
          <w:i/>
          <w:color w:val="333333" w:themeColor="background1"/>
        </w:rPr>
      </w:pPr>
      <w:r w:rsidRPr="00F041AD">
        <w:rPr>
          <w:b/>
          <w:i/>
          <w:color w:val="333333" w:themeColor="background1"/>
        </w:rPr>
        <w:t>Other related resources</w:t>
      </w:r>
    </w:p>
    <w:p w14:paraId="0021F32A" w14:textId="77777777" w:rsidR="00B65A50" w:rsidRPr="00F041AD" w:rsidRDefault="006506BB" w:rsidP="00F655E6">
      <w:pPr>
        <w:pStyle w:val="5BodyText"/>
        <w:numPr>
          <w:ilvl w:val="0"/>
          <w:numId w:val="83"/>
        </w:numPr>
        <w:rPr>
          <w:color w:val="333333" w:themeColor="background1"/>
        </w:rPr>
      </w:pPr>
      <w:hyperlink r:id="rId60" w:history="1">
        <w:r w:rsidR="00B65A50" w:rsidRPr="00F041AD">
          <w:rPr>
            <w:rStyle w:val="Hyperlink"/>
            <w:color w:val="333333" w:themeColor="background1"/>
          </w:rPr>
          <w:t>Energy Vision</w:t>
        </w:r>
      </w:hyperlink>
      <w:r w:rsidR="00B65A50" w:rsidRPr="00F041AD">
        <w:rPr>
          <w:color w:val="333333" w:themeColor="background1"/>
        </w:rPr>
        <w:t xml:space="preserve"> prepared a report on community actions that can promote renewable natural gas for vehicle fuel.</w:t>
      </w:r>
      <w:r w:rsidR="00B65A50" w:rsidRPr="00F041AD">
        <w:rPr>
          <w:rStyle w:val="EndnoteReference"/>
          <w:color w:val="333333" w:themeColor="background1"/>
        </w:rPr>
        <w:endnoteReference w:id="111"/>
      </w:r>
    </w:p>
    <w:p w14:paraId="4998782F" w14:textId="77777777" w:rsidR="00163B35" w:rsidRPr="00F041AD" w:rsidRDefault="00163B35">
      <w:pPr>
        <w:rPr>
          <w:b/>
          <w:caps/>
          <w:color w:val="333333" w:themeColor="background1"/>
        </w:rPr>
      </w:pPr>
      <w:bookmarkStart w:id="146" w:name="h.uocy8sgh8c39" w:colFirst="0" w:colLast="0"/>
      <w:bookmarkStart w:id="147" w:name="h.ihv636" w:colFirst="0" w:colLast="0"/>
      <w:bookmarkEnd w:id="146"/>
      <w:bookmarkEnd w:id="147"/>
    </w:p>
    <w:p w14:paraId="3264F281" w14:textId="7DBAEEAB" w:rsidR="00795CAC" w:rsidRPr="00F041AD" w:rsidRDefault="00163B35" w:rsidP="007F3F44">
      <w:pPr>
        <w:pStyle w:val="6BodyHighlight"/>
        <w:rPr>
          <w:color w:val="333333" w:themeColor="background1"/>
        </w:rPr>
        <w:sectPr w:rsidR="00795CAC" w:rsidRPr="00F041AD" w:rsidSect="009B0DDD">
          <w:endnotePr>
            <w:numFmt w:val="decimal"/>
          </w:endnotePr>
          <w:pgSz w:w="12240" w:h="15840"/>
          <w:pgMar w:top="1627" w:right="1080" w:bottom="1440" w:left="1080" w:header="720" w:footer="278" w:gutter="0"/>
          <w:cols w:space="720"/>
          <w:titlePg/>
        </w:sectPr>
      </w:pPr>
      <w:bookmarkStart w:id="148" w:name="_Toc322961627"/>
      <w:r w:rsidRPr="00F041AD">
        <w:rPr>
          <w:color w:val="333333" w:themeColor="background1"/>
        </w:rPr>
        <w:t>References</w:t>
      </w:r>
      <w:bookmarkEnd w:id="148"/>
    </w:p>
    <w:p w14:paraId="5C0141CE" w14:textId="6C4D04D0" w:rsidR="00B65A50" w:rsidRPr="00F041AD" w:rsidRDefault="00B65A50" w:rsidP="00875F55">
      <w:pPr>
        <w:pStyle w:val="3SectionTitle"/>
        <w:rPr>
          <w:color w:val="333333" w:themeColor="background1"/>
        </w:rPr>
      </w:pPr>
      <w:bookmarkStart w:id="149" w:name="_Toc322933803"/>
      <w:bookmarkStart w:id="150" w:name="_Toc322961628"/>
      <w:bookmarkStart w:id="151" w:name="_Toc322962036"/>
      <w:bookmarkStart w:id="152" w:name="_Toc322962223"/>
      <w:r w:rsidRPr="00F041AD">
        <w:rPr>
          <w:color w:val="333333" w:themeColor="background1"/>
        </w:rPr>
        <w:lastRenderedPageBreak/>
        <w:t>B. Energy supply and grid modernization</w:t>
      </w:r>
      <w:bookmarkEnd w:id="149"/>
      <w:bookmarkEnd w:id="150"/>
      <w:bookmarkEnd w:id="151"/>
      <w:bookmarkEnd w:id="152"/>
    </w:p>
    <w:p w14:paraId="3C68C6AE" w14:textId="77777777" w:rsidR="00B65A50" w:rsidRPr="00F041AD" w:rsidRDefault="00B65A50" w:rsidP="007F3F44">
      <w:pPr>
        <w:pStyle w:val="6BodyHighlight"/>
        <w:rPr>
          <w:color w:val="333333" w:themeColor="background1"/>
        </w:rPr>
      </w:pPr>
    </w:p>
    <w:p w14:paraId="19C2AA05" w14:textId="6F6AF236" w:rsidR="00B65A50" w:rsidRPr="00F041AD" w:rsidRDefault="00B65A50" w:rsidP="007F3F44">
      <w:pPr>
        <w:pStyle w:val="6BodyHighlight"/>
        <w:rPr>
          <w:color w:val="333333" w:themeColor="background1"/>
        </w:rPr>
      </w:pPr>
      <w:bookmarkStart w:id="153" w:name="_Toc322961629"/>
      <w:r w:rsidRPr="00F041AD">
        <w:rPr>
          <w:color w:val="333333" w:themeColor="background1"/>
        </w:rPr>
        <w:t>Section summary</w:t>
      </w:r>
      <w:bookmarkEnd w:id="153"/>
    </w:p>
    <w:p w14:paraId="56C1D36D" w14:textId="2DCF25C8" w:rsidR="00B65A50" w:rsidRPr="00F041AD" w:rsidRDefault="00B65A50" w:rsidP="00A1284B">
      <w:pPr>
        <w:pStyle w:val="5BodyText"/>
        <w:rPr>
          <w:color w:val="333333" w:themeColor="background1"/>
        </w:rPr>
      </w:pPr>
      <w:r w:rsidRPr="00F041AD">
        <w:rPr>
          <w:color w:val="333333" w:themeColor="background1"/>
        </w:rPr>
        <w:t>Electricity generation in Minnesota accounts for 29 percent of total energy use in the state, with the majority coming from coal, and accounts for roughly 30 percent of the state’s greenhouse gas emissions. Minnesota has abundant, clean wind resources; in fact, 17 percent of the state’s electricity is already powered by wind.</w:t>
      </w:r>
      <w:r w:rsidRPr="00F041AD">
        <w:rPr>
          <w:rStyle w:val="EndnoteReference"/>
          <w:color w:val="333333" w:themeColor="background1"/>
        </w:rPr>
        <w:t xml:space="preserve"> </w:t>
      </w:r>
      <w:r w:rsidRPr="00F041AD">
        <w:rPr>
          <w:rStyle w:val="EndnoteReference"/>
          <w:color w:val="333333" w:themeColor="background1"/>
        </w:rPr>
        <w:endnoteReference w:id="112"/>
      </w:r>
      <w:r w:rsidRPr="00F041AD">
        <w:rPr>
          <w:color w:val="333333" w:themeColor="background1"/>
        </w:rPr>
        <w:t xml:space="preserve"> Solar resources are also plentiful in Minnesota, and the industry is poised for additional growth.</w:t>
      </w:r>
    </w:p>
    <w:p w14:paraId="64D8CE31" w14:textId="77777777" w:rsidR="00B65A50" w:rsidRPr="00F041AD" w:rsidRDefault="00B65A50" w:rsidP="00A1284B">
      <w:pPr>
        <w:pStyle w:val="5BodyText"/>
        <w:rPr>
          <w:color w:val="333333" w:themeColor="background1"/>
        </w:rPr>
      </w:pPr>
    </w:p>
    <w:p w14:paraId="6C6B2695" w14:textId="77777777" w:rsidR="00B65A50" w:rsidRPr="00F041AD" w:rsidRDefault="00B65A50" w:rsidP="00A1284B">
      <w:pPr>
        <w:pStyle w:val="5BodyText"/>
        <w:rPr>
          <w:color w:val="333333" w:themeColor="background1"/>
        </w:rPr>
      </w:pPr>
      <w:r w:rsidRPr="00F041AD">
        <w:rPr>
          <w:color w:val="333333" w:themeColor="background1"/>
        </w:rPr>
        <w:t>In order to integrate additional clean energy growth and keep energy dollars in the state, Minnesota must be able to effectively integrate additional clean energy resources onto the grid, and to establish pricing signals that more accurately capture the cost of electricity generation. Stakeholders’ recommendations for the energy supply sector fall into two key categories: grid modernization and pricing and tariffs.</w:t>
      </w:r>
    </w:p>
    <w:p w14:paraId="65B41AD6" w14:textId="77777777" w:rsidR="00B65A50" w:rsidRPr="00F041AD" w:rsidRDefault="00B65A50" w:rsidP="00A1284B">
      <w:pPr>
        <w:pStyle w:val="5BodyText"/>
        <w:rPr>
          <w:color w:val="333333" w:themeColor="background1"/>
        </w:rPr>
      </w:pPr>
    </w:p>
    <w:p w14:paraId="4976758F" w14:textId="77777777" w:rsidR="00B65A50" w:rsidRPr="00F041AD" w:rsidRDefault="00B65A50" w:rsidP="00A1284B">
      <w:pPr>
        <w:pStyle w:val="5BodyText"/>
        <w:rPr>
          <w:b/>
          <w:color w:val="333333" w:themeColor="background1"/>
        </w:rPr>
      </w:pPr>
      <w:r w:rsidRPr="00F041AD">
        <w:rPr>
          <w:b/>
          <w:color w:val="333333" w:themeColor="background1"/>
        </w:rPr>
        <w:t>Grid modernization</w:t>
      </w:r>
    </w:p>
    <w:p w14:paraId="6088C56A" w14:textId="77777777" w:rsidR="00B65A50" w:rsidRPr="00F041AD" w:rsidRDefault="00B65A50" w:rsidP="00A1284B">
      <w:pPr>
        <w:pStyle w:val="5BodyText"/>
        <w:rPr>
          <w:color w:val="333333" w:themeColor="background1"/>
        </w:rPr>
      </w:pPr>
      <w:r w:rsidRPr="00F041AD">
        <w:rPr>
          <w:color w:val="333333" w:themeColor="background1"/>
        </w:rPr>
        <w:t>Today’s grid is designed for a one-way flow of electricity, information, and value. However, the costs of distributed energy resources are declining and the capabilities of advanced control technologies are evolving. Modernizing the grid will enable more two-way flows of electricity, information, and value, and will allow for the expansion of large-scale, variable renewable energy sources. Stakeholders identified the following strategies to modernize the grid:</w:t>
      </w:r>
    </w:p>
    <w:p w14:paraId="7A0A64DF" w14:textId="77777777" w:rsidR="00B65A50" w:rsidRPr="00F041AD" w:rsidRDefault="00B65A50" w:rsidP="00A1284B">
      <w:pPr>
        <w:pStyle w:val="5BodyText"/>
        <w:rPr>
          <w:color w:val="333333" w:themeColor="background1"/>
        </w:rPr>
      </w:pPr>
    </w:p>
    <w:p w14:paraId="7BCCB864" w14:textId="77777777" w:rsidR="00B65A50" w:rsidRPr="00F041AD" w:rsidRDefault="00B65A50" w:rsidP="00A1284B">
      <w:pPr>
        <w:pStyle w:val="5BodyText"/>
        <w:numPr>
          <w:ilvl w:val="0"/>
          <w:numId w:val="6"/>
        </w:numPr>
        <w:rPr>
          <w:b/>
          <w:color w:val="333333" w:themeColor="background1"/>
        </w:rPr>
      </w:pPr>
      <w:r w:rsidRPr="00F041AD">
        <w:rPr>
          <w:b/>
          <w:color w:val="333333" w:themeColor="background1"/>
        </w:rPr>
        <w:t xml:space="preserve">Deploy advanced metering infrastructure (AMI) </w:t>
      </w:r>
      <w:r w:rsidRPr="00F041AD">
        <w:rPr>
          <w:color w:val="333333" w:themeColor="background1"/>
        </w:rPr>
        <w:t>to allow for communication between the utility and the grid;</w:t>
      </w:r>
    </w:p>
    <w:p w14:paraId="77CADE6B" w14:textId="77777777" w:rsidR="00B65A50" w:rsidRPr="00F041AD" w:rsidRDefault="00B65A50" w:rsidP="00A1284B">
      <w:pPr>
        <w:pStyle w:val="5BodyText"/>
        <w:numPr>
          <w:ilvl w:val="0"/>
          <w:numId w:val="6"/>
        </w:numPr>
        <w:rPr>
          <w:b/>
          <w:color w:val="333333" w:themeColor="background1"/>
        </w:rPr>
      </w:pPr>
      <w:r w:rsidRPr="00F041AD">
        <w:rPr>
          <w:b/>
          <w:color w:val="333333" w:themeColor="background1"/>
        </w:rPr>
        <w:t xml:space="preserve">Enable smart inverter functionality </w:t>
      </w:r>
      <w:r w:rsidRPr="00F041AD">
        <w:rPr>
          <w:color w:val="333333" w:themeColor="background1"/>
        </w:rPr>
        <w:t>to allow utilities to better integrate increasing levels of solar power with the grid; and</w:t>
      </w:r>
    </w:p>
    <w:p w14:paraId="3CC3A615" w14:textId="77777777" w:rsidR="00B65A50" w:rsidRPr="00F041AD" w:rsidRDefault="00B65A50" w:rsidP="00A1284B">
      <w:pPr>
        <w:pStyle w:val="5BodyText"/>
        <w:numPr>
          <w:ilvl w:val="0"/>
          <w:numId w:val="6"/>
        </w:numPr>
        <w:rPr>
          <w:b/>
          <w:color w:val="333333" w:themeColor="background1"/>
        </w:rPr>
      </w:pPr>
      <w:r w:rsidRPr="00F041AD">
        <w:rPr>
          <w:b/>
          <w:color w:val="333333" w:themeColor="background1"/>
        </w:rPr>
        <w:t xml:space="preserve">Integrate energy storage and demand response </w:t>
      </w:r>
      <w:r w:rsidRPr="00F041AD">
        <w:rPr>
          <w:color w:val="333333" w:themeColor="background1"/>
        </w:rPr>
        <w:t>to reduce peak power demands, lower customer costs, and enable additional renewable energy penetration.</w:t>
      </w:r>
    </w:p>
    <w:p w14:paraId="38C74D2B" w14:textId="77777777" w:rsidR="00B65A50" w:rsidRPr="00F041AD" w:rsidRDefault="00B65A50" w:rsidP="00A1284B">
      <w:pPr>
        <w:pStyle w:val="5BodyText"/>
        <w:rPr>
          <w:color w:val="333333" w:themeColor="background1"/>
        </w:rPr>
      </w:pPr>
    </w:p>
    <w:p w14:paraId="50E846C8" w14:textId="77777777" w:rsidR="00B65A50" w:rsidRPr="00F041AD" w:rsidRDefault="00B65A50" w:rsidP="00A1284B">
      <w:pPr>
        <w:pStyle w:val="5BodyText"/>
        <w:rPr>
          <w:b/>
          <w:color w:val="333333" w:themeColor="background1"/>
        </w:rPr>
      </w:pPr>
      <w:r w:rsidRPr="00F041AD">
        <w:rPr>
          <w:b/>
          <w:color w:val="333333" w:themeColor="background1"/>
        </w:rPr>
        <w:t>Pricing and tariffs</w:t>
      </w:r>
    </w:p>
    <w:p w14:paraId="79F05087" w14:textId="77777777" w:rsidR="00B65A50" w:rsidRPr="00F041AD" w:rsidRDefault="00B65A50" w:rsidP="00A1284B">
      <w:pPr>
        <w:pStyle w:val="5BodyText"/>
        <w:rPr>
          <w:color w:val="333333" w:themeColor="background1"/>
        </w:rPr>
      </w:pPr>
      <w:r w:rsidRPr="00F041AD">
        <w:rPr>
          <w:color w:val="333333" w:themeColor="background1"/>
        </w:rPr>
        <w:t xml:space="preserve">Most utilities charge customers for their total energy consumption each month, without taking into account the energy source or the cost to produce that energy during a particular time of day or year. Updated retail pricing can better reflect the grid-level costs of consumption, and can empower customers with choices, allowing them to reduce their energy bills and reduce costs for the entire energy system. </w:t>
      </w:r>
    </w:p>
    <w:p w14:paraId="134E3E23" w14:textId="77777777" w:rsidR="00B65A50" w:rsidRPr="00F041AD" w:rsidRDefault="00B65A50" w:rsidP="00A1284B">
      <w:pPr>
        <w:pStyle w:val="5BodyText"/>
        <w:rPr>
          <w:color w:val="333333" w:themeColor="background1"/>
        </w:rPr>
      </w:pPr>
      <w:r w:rsidRPr="00F041AD">
        <w:rPr>
          <w:color w:val="333333" w:themeColor="background1"/>
        </w:rPr>
        <w:t xml:space="preserve">Stakeholders identified the following strategies related to pricing and tariffs: </w:t>
      </w:r>
    </w:p>
    <w:p w14:paraId="3BB27831" w14:textId="77777777" w:rsidR="00B65A50" w:rsidRPr="00F041AD" w:rsidRDefault="00B65A50" w:rsidP="00A1284B">
      <w:pPr>
        <w:pStyle w:val="5BodyText"/>
        <w:rPr>
          <w:color w:val="333333" w:themeColor="background1"/>
        </w:rPr>
      </w:pPr>
    </w:p>
    <w:p w14:paraId="700F4D38" w14:textId="77777777" w:rsidR="00B65A50" w:rsidRPr="00F041AD" w:rsidRDefault="00B65A50" w:rsidP="00A1284B">
      <w:pPr>
        <w:pStyle w:val="5BodyText"/>
        <w:numPr>
          <w:ilvl w:val="0"/>
          <w:numId w:val="7"/>
        </w:numPr>
        <w:rPr>
          <w:color w:val="333333" w:themeColor="background1"/>
        </w:rPr>
      </w:pPr>
      <w:r w:rsidRPr="00F041AD">
        <w:rPr>
          <w:b/>
          <w:color w:val="333333" w:themeColor="background1"/>
        </w:rPr>
        <w:t xml:space="preserve">Adopt time-based rates </w:t>
      </w:r>
      <w:r w:rsidRPr="00F041AD">
        <w:rPr>
          <w:color w:val="333333" w:themeColor="background1"/>
        </w:rPr>
        <w:t>to more accurately capture the cost of electricity generation and reduce overall costs to the grid by avoiding investment in peaking capacity; and</w:t>
      </w:r>
    </w:p>
    <w:p w14:paraId="6832223F" w14:textId="161243B3" w:rsidR="00B65A50" w:rsidRPr="00F041AD" w:rsidRDefault="00B65A50" w:rsidP="00A1284B">
      <w:pPr>
        <w:pStyle w:val="5BodyText"/>
        <w:numPr>
          <w:ilvl w:val="0"/>
          <w:numId w:val="7"/>
        </w:numPr>
        <w:rPr>
          <w:color w:val="333333" w:themeColor="background1"/>
        </w:rPr>
      </w:pPr>
      <w:r w:rsidRPr="00F041AD">
        <w:rPr>
          <w:b/>
          <w:color w:val="333333" w:themeColor="background1"/>
        </w:rPr>
        <w:lastRenderedPageBreak/>
        <w:t xml:space="preserve">Expand and improve utility green energy options </w:t>
      </w:r>
      <w:r w:rsidRPr="00F041AD">
        <w:rPr>
          <w:color w:val="333333" w:themeColor="background1"/>
        </w:rPr>
        <w:t>to meet increasing customer demand for renewable electricity and renewable natural gas.</w:t>
      </w:r>
    </w:p>
    <w:p w14:paraId="6487A225" w14:textId="6759A627" w:rsidR="00B65A50" w:rsidRPr="00F041AD" w:rsidRDefault="00B65A50">
      <w:pPr>
        <w:rPr>
          <w:color w:val="333333" w:themeColor="background1"/>
          <w:sz w:val="20"/>
        </w:rPr>
      </w:pPr>
      <w:r w:rsidRPr="00F041AD">
        <w:rPr>
          <w:color w:val="333333" w:themeColor="background1"/>
        </w:rPr>
        <w:br w:type="page"/>
      </w:r>
    </w:p>
    <w:p w14:paraId="56702991" w14:textId="69121D6B" w:rsidR="00B65A50" w:rsidRPr="00F041AD" w:rsidRDefault="00B65A50" w:rsidP="00E66586">
      <w:pPr>
        <w:pStyle w:val="5BodyText"/>
        <w:rPr>
          <w:color w:val="333333" w:themeColor="background1"/>
        </w:rPr>
      </w:pPr>
      <w:r w:rsidRPr="00F041AD">
        <w:rPr>
          <w:color w:val="333333" w:themeColor="background1"/>
        </w:rPr>
        <w:lastRenderedPageBreak/>
        <w:t xml:space="preserve">This section covers strategies to shift energy supplied to Minnesota customers, including electricity and natural gas, towards cleaner energy resources, as well as streamlining the delivery of electricity to best integrate distributed energy resources. </w:t>
      </w:r>
    </w:p>
    <w:p w14:paraId="27F7789E" w14:textId="78867C20" w:rsidR="00B65A50" w:rsidRPr="00F041AD" w:rsidRDefault="00163B35" w:rsidP="007F3F44">
      <w:pPr>
        <w:pStyle w:val="6BodyHighlight"/>
        <w:rPr>
          <w:color w:val="333333" w:themeColor="background1"/>
        </w:rPr>
      </w:pPr>
      <w:r w:rsidRPr="00F041AD">
        <w:rPr>
          <w:noProof/>
          <w:color w:val="333333" w:themeColor="background1"/>
          <w:lang w:eastAsia="en-US"/>
        </w:rPr>
        <mc:AlternateContent>
          <mc:Choice Requires="wps">
            <w:drawing>
              <wp:anchor distT="0" distB="0" distL="114300" distR="114300" simplePos="0" relativeHeight="251696128" behindDoc="0" locked="0" layoutInCell="1" allowOverlap="1" wp14:anchorId="11DA0F51" wp14:editId="1F7BC113">
                <wp:simplePos x="0" y="0"/>
                <wp:positionH relativeFrom="column">
                  <wp:posOffset>4052570</wp:posOffset>
                </wp:positionH>
                <wp:positionV relativeFrom="paragraph">
                  <wp:posOffset>112395</wp:posOffset>
                </wp:positionV>
                <wp:extent cx="2057400" cy="3744595"/>
                <wp:effectExtent l="0" t="0" r="0" b="8255"/>
                <wp:wrapSquare wrapText="bothSides"/>
                <wp:docPr id="15" name="Text Box 15"/>
                <wp:cNvGraphicFramePr/>
                <a:graphic xmlns:a="http://schemas.openxmlformats.org/drawingml/2006/main">
                  <a:graphicData uri="http://schemas.microsoft.com/office/word/2010/wordprocessingShape">
                    <wps:wsp>
                      <wps:cNvSpPr txBox="1"/>
                      <wps:spPr>
                        <a:xfrm>
                          <a:off x="0" y="0"/>
                          <a:ext cx="2057400" cy="37445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DC4DF2" w14:textId="1271C87C" w:rsidR="006506BB" w:rsidRPr="00163B35" w:rsidRDefault="006506BB" w:rsidP="00044CDC">
                            <w:pPr>
                              <w:pStyle w:val="4Quote"/>
                              <w:rPr>
                                <w:sz w:val="36"/>
                              </w:rPr>
                            </w:pPr>
                            <w:r w:rsidRPr="00163B35">
                              <w:rPr>
                                <w:sz w:val="36"/>
                              </w:rPr>
                              <w:t xml:space="preserve">Wind accounts for 17 percent of Minnesota’s electricity generation. </w:t>
                            </w:r>
                            <w:r>
                              <w:rPr>
                                <w:sz w:val="36"/>
                              </w:rPr>
                              <w:t xml:space="preserve">A </w:t>
                            </w:r>
                            <w:r w:rsidRPr="00163B35">
                              <w:rPr>
                                <w:sz w:val="36"/>
                              </w:rPr>
                              <w:t>modernized grid and updated energy pricing and tariffs</w:t>
                            </w:r>
                            <w:r>
                              <w:rPr>
                                <w:sz w:val="36"/>
                              </w:rPr>
                              <w:t xml:space="preserve"> can facilitate further renewable energy adoption.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3" type="#_x0000_t202" style="position:absolute;margin-left:319.1pt;margin-top:8.85pt;width:162pt;height:294.8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" filled="f" stroked="f">
                <v:textbox>
                  <w:txbxContent>
                    <w:p w14:paraId="10DC4DF2" w14:textId="1271C87C" w:rsidR="006506BB" w:rsidRPr="00163B35" w:rsidRDefault="006506BB" w:rsidP="00044CDC">
                      <w:pPr>
                        <w:pStyle w:val="4Quote"/>
                        <w:rPr>
                          <w:sz w:val="36"/>
                        </w:rPr>
                      </w:pPr>
                      <w:r w:rsidRPr="00163B35">
                        <w:rPr>
                          <w:sz w:val="36"/>
                        </w:rPr>
                        <w:t xml:space="preserve">Wind accounts for 17 percent of Minnesota’s electricity generation. </w:t>
                      </w:r>
                      <w:r>
                        <w:rPr>
                          <w:sz w:val="36"/>
                        </w:rPr>
                        <w:t xml:space="preserve">A </w:t>
                      </w:r>
                      <w:r w:rsidRPr="00163B35">
                        <w:rPr>
                          <w:sz w:val="36"/>
                        </w:rPr>
                        <w:t>modernized grid and updated energy pricing and tariffs</w:t>
                      </w:r>
                      <w:r>
                        <w:rPr>
                          <w:sz w:val="36"/>
                        </w:rPr>
                        <w:t xml:space="preserve"> can facilitate further renewable energy adoption.</w:t>
                      </w:r>
                    </w:p>
                  </w:txbxContent>
                </v:textbox>
                <w10:wrap type="square"/>
              </v:shape>
            </w:pict>
          </mc:Fallback>
        </mc:AlternateContent>
      </w:r>
    </w:p>
    <w:p w14:paraId="39AFEFD3" w14:textId="5C6DBA07" w:rsidR="00B65A50" w:rsidRPr="00F041AD" w:rsidRDefault="00B65A50" w:rsidP="007F3F44">
      <w:pPr>
        <w:pStyle w:val="6BodyHighlight"/>
        <w:rPr>
          <w:color w:val="333333" w:themeColor="background1"/>
        </w:rPr>
      </w:pPr>
      <w:bookmarkStart w:id="154" w:name="_Toc322961630"/>
      <w:r w:rsidRPr="00F041AD">
        <w:rPr>
          <w:color w:val="333333" w:themeColor="background1"/>
        </w:rPr>
        <w:t>Energy profile</w:t>
      </w:r>
      <w:bookmarkEnd w:id="154"/>
    </w:p>
    <w:p w14:paraId="17C03924" w14:textId="65B8C29E" w:rsidR="00B65A50" w:rsidRPr="00F041AD" w:rsidRDefault="00B65A50" w:rsidP="00413782">
      <w:pPr>
        <w:pStyle w:val="5BodyText"/>
        <w:rPr>
          <w:color w:val="333333" w:themeColor="background1"/>
        </w:rPr>
      </w:pPr>
      <w:r w:rsidRPr="00F041AD">
        <w:rPr>
          <w:color w:val="333333" w:themeColor="background1"/>
        </w:rPr>
        <w:t>Electric and natural gas utilities in Minnesota supply the majority of energy to end-use sectors. The largest two utilities (Xcel Energy and Minnesota Power) account for almost 60 percent of total electricity retail sales in the state, but there are over 170 other utilities that serve retail customers.</w:t>
      </w:r>
      <w:r w:rsidRPr="00F041AD">
        <w:rPr>
          <w:color w:val="333333" w:themeColor="background1"/>
          <w:vertAlign w:val="superscript"/>
        </w:rPr>
        <w:endnoteReference w:id="113"/>
      </w:r>
      <w:r w:rsidRPr="00F041AD">
        <w:rPr>
          <w:color w:val="333333" w:themeColor="background1"/>
        </w:rPr>
        <w:t xml:space="preserve"> The power plants that generate electricity are owned by an array of utilities, independent power producers, private businesses and institutions, and communities; there are more than 140 large power plant owners in all,</w:t>
      </w:r>
      <w:r w:rsidRPr="00F041AD">
        <w:rPr>
          <w:color w:val="333333" w:themeColor="background1"/>
          <w:vertAlign w:val="superscript"/>
        </w:rPr>
        <w:endnoteReference w:id="114"/>
      </w:r>
      <w:r w:rsidRPr="00F041AD">
        <w:rPr>
          <w:color w:val="333333" w:themeColor="background1"/>
        </w:rPr>
        <w:t xml:space="preserve"> not counting small, distributed resources like rooftop PV.</w:t>
      </w:r>
    </w:p>
    <w:p w14:paraId="445CE408" w14:textId="77777777" w:rsidR="00B65A50" w:rsidRPr="00F041AD" w:rsidRDefault="00B65A50" w:rsidP="00413782">
      <w:pPr>
        <w:pStyle w:val="5BodyText"/>
        <w:rPr>
          <w:color w:val="333333" w:themeColor="background1"/>
        </w:rPr>
      </w:pPr>
      <w:bookmarkStart w:id="155" w:name="h.xj5buqoz4wix" w:colFirst="0" w:colLast="0"/>
      <w:bookmarkEnd w:id="155"/>
    </w:p>
    <w:p w14:paraId="13E38FFE" w14:textId="7BAE4601" w:rsidR="00B65A50" w:rsidRPr="00F041AD" w:rsidRDefault="00B65A50" w:rsidP="00413782">
      <w:pPr>
        <w:pStyle w:val="5BodyText"/>
        <w:rPr>
          <w:color w:val="333333" w:themeColor="background1"/>
        </w:rPr>
      </w:pPr>
      <w:bookmarkStart w:id="156" w:name="h.1hmsyys" w:colFirst="0" w:colLast="0"/>
      <w:bookmarkEnd w:id="156"/>
      <w:r w:rsidRPr="00F041AD">
        <w:rPr>
          <w:color w:val="333333" w:themeColor="background1"/>
        </w:rPr>
        <w:t>Electricity generation in Minnesota accounts for 29 percent of total energy use in the state, with 44%of the energy used to produce electricity coming from coal</w:t>
      </w:r>
      <w:r w:rsidRPr="00F041AD">
        <w:rPr>
          <w:color w:val="333333" w:themeColor="background1"/>
          <w:vertAlign w:val="superscript"/>
        </w:rPr>
        <w:endnoteReference w:id="115"/>
      </w:r>
      <w:r w:rsidRPr="00F041AD">
        <w:rPr>
          <w:color w:val="333333" w:themeColor="background1"/>
        </w:rPr>
        <w:t>. Due to efficiency losses associated with burning fuels to create electricity, thermal power plants lose as heat 67 percent of the primary energy in their fuel.</w:t>
      </w:r>
      <w:r w:rsidRPr="00F041AD">
        <w:rPr>
          <w:color w:val="333333" w:themeColor="background1"/>
          <w:vertAlign w:val="superscript"/>
        </w:rPr>
        <w:endnoteReference w:id="116"/>
      </w:r>
      <w:r w:rsidRPr="00F041AD">
        <w:rPr>
          <w:color w:val="333333" w:themeColor="background1"/>
          <w:vertAlign w:val="superscript"/>
        </w:rPr>
        <w:t xml:space="preserve"> </w:t>
      </w:r>
      <w:r w:rsidRPr="00F041AD">
        <w:rPr>
          <w:color w:val="333333" w:themeColor="background1"/>
        </w:rPr>
        <w:t>Electricity generation also makes up roughly 30 percent of Minnesota’s GHG emissions, so supplying electricity with low-carbon sources is providing a near term solution for reducing GHG emissions to the level required by state law.</w:t>
      </w:r>
    </w:p>
    <w:p w14:paraId="0847D864" w14:textId="77777777" w:rsidR="00B65A50" w:rsidRPr="00F041AD" w:rsidRDefault="00B65A50" w:rsidP="00413782">
      <w:pPr>
        <w:pStyle w:val="5BodyText"/>
        <w:rPr>
          <w:color w:val="333333" w:themeColor="background1"/>
        </w:rPr>
      </w:pPr>
    </w:p>
    <w:p w14:paraId="43B4CFF1" w14:textId="628171F3" w:rsidR="00B65A50" w:rsidRPr="00F041AD" w:rsidRDefault="00B65A50" w:rsidP="00634F1C">
      <w:pPr>
        <w:pStyle w:val="5BodyText"/>
        <w:rPr>
          <w:color w:val="333333" w:themeColor="background1"/>
        </w:rPr>
      </w:pPr>
      <w:r w:rsidRPr="00F041AD">
        <w:rPr>
          <w:color w:val="333333" w:themeColor="background1"/>
        </w:rPr>
        <w:t>Minnesota has abundant wind resources, and is among the top tier of states in wind generation with 17 percent of the state’s electricity being generated by wind in 2015.</w:t>
      </w:r>
      <w:r w:rsidRPr="00F041AD">
        <w:rPr>
          <w:color w:val="333333" w:themeColor="background1"/>
          <w:vertAlign w:val="superscript"/>
        </w:rPr>
        <w:endnoteReference w:id="117"/>
      </w:r>
      <w:r w:rsidRPr="00F041AD">
        <w:rPr>
          <w:color w:val="333333" w:themeColor="background1"/>
        </w:rPr>
        <w:t xml:space="preserve"> Other renewable resources make up a much smaller portion of the state’s generation mix, but this sector is poised for growth;</w:t>
      </w:r>
      <w:r w:rsidRPr="00F041AD" w:rsidDel="00CB18D5">
        <w:rPr>
          <w:color w:val="333333" w:themeColor="background1"/>
        </w:rPr>
        <w:t xml:space="preserve"> </w:t>
      </w:r>
      <w:r w:rsidRPr="00F041AD">
        <w:rPr>
          <w:color w:val="333333" w:themeColor="background1"/>
        </w:rPr>
        <w:t>for example, Minnesota has also been a recent leader in policies promoting solar PV adoption.</w:t>
      </w:r>
    </w:p>
    <w:p w14:paraId="2D904CEB" w14:textId="77777777" w:rsidR="00B65A50" w:rsidRPr="00F041AD" w:rsidRDefault="00B65A50" w:rsidP="00413782">
      <w:pPr>
        <w:pStyle w:val="5BodyText"/>
        <w:rPr>
          <w:color w:val="333333" w:themeColor="background1"/>
        </w:rPr>
      </w:pPr>
    </w:p>
    <w:p w14:paraId="7D83DC12" w14:textId="6DBCF42C" w:rsidR="00B65A50" w:rsidRPr="00F041AD" w:rsidRDefault="00B65A50" w:rsidP="007F3F44">
      <w:pPr>
        <w:pStyle w:val="6BodyHighlight"/>
        <w:rPr>
          <w:color w:val="333333" w:themeColor="background1"/>
        </w:rPr>
      </w:pPr>
      <w:bookmarkStart w:id="157" w:name="_Toc322961631"/>
      <w:r w:rsidRPr="00F041AD">
        <w:rPr>
          <w:color w:val="333333" w:themeColor="background1"/>
        </w:rPr>
        <w:t>Summary of opportunities</w:t>
      </w:r>
      <w:bookmarkEnd w:id="157"/>
    </w:p>
    <w:p w14:paraId="475E70FA" w14:textId="77777777" w:rsidR="00B65A50" w:rsidRPr="00F041AD" w:rsidRDefault="00B65A50" w:rsidP="00420CA3">
      <w:pPr>
        <w:pStyle w:val="5BodyText"/>
        <w:rPr>
          <w:color w:val="333333" w:themeColor="background1"/>
        </w:rPr>
      </w:pPr>
      <w:r w:rsidRPr="00F041AD">
        <w:rPr>
          <w:color w:val="333333" w:themeColor="background1"/>
        </w:rPr>
        <w:t>The strategies outlined in this section have been identified by stakeholders as key levers to ensure that the transition brought on by the rapidly improving cost-effectiveness of clean energy resources can be managed at low cost and while maintaining or improving the reliability and resiliency that Minnesotans enjoy from the grid today. The strategies fall into two major categories: grid modernization, and pricing and tariff structures.</w:t>
      </w:r>
    </w:p>
    <w:p w14:paraId="0D20F1FA" w14:textId="77777777" w:rsidR="00B65A50" w:rsidRPr="00F041AD" w:rsidRDefault="00B65A50" w:rsidP="00420CA3">
      <w:pPr>
        <w:pStyle w:val="5BodyText"/>
        <w:rPr>
          <w:color w:val="333333" w:themeColor="background1"/>
        </w:rPr>
      </w:pPr>
    </w:p>
    <w:p w14:paraId="43EFBE6A" w14:textId="4CCDCEC1" w:rsidR="00B65A50" w:rsidRPr="00725676" w:rsidRDefault="00B65A50" w:rsidP="00725676">
      <w:pPr>
        <w:pStyle w:val="5BodyText"/>
        <w:numPr>
          <w:ilvl w:val="0"/>
          <w:numId w:val="7"/>
        </w:numPr>
        <w:rPr>
          <w:color w:val="333333" w:themeColor="background1"/>
        </w:rPr>
      </w:pPr>
      <w:r w:rsidRPr="00725676">
        <w:rPr>
          <w:b/>
          <w:color w:val="333333" w:themeColor="background1"/>
        </w:rPr>
        <w:t>Grid modernization:</w:t>
      </w:r>
      <w:r w:rsidRPr="00725676">
        <w:rPr>
          <w:color w:val="333333" w:themeColor="background1"/>
        </w:rPr>
        <w:t xml:space="preserve"> A transition to clean energy resources can be aided by targeted upgrades to grid infrastructure to support the integration of distributed energy resources (DERs), including </w:t>
      </w:r>
      <w:r w:rsidRPr="00725676">
        <w:rPr>
          <w:color w:val="333333" w:themeColor="background1"/>
        </w:rPr>
        <w:lastRenderedPageBreak/>
        <w:t>renewable generation resources (e.g. solar photovoltaic [PV] systems) and other technologies (e.g. smart inverters, load control technologies, energy storage). Today’s grid is largely designed for one-way flow of electricity, information, and value; with the declining costs and evolving capabilities of DERs and advanced control technologies, targeted grid upgrades will be beneficial for seamlessly enabling more two-way flows. These upgrades will also help DERs to integrate with central infrastructure, including a likely expanded level of large-scale variable renewable generating resources (e.g. wind farms).</w:t>
      </w:r>
      <w:r w:rsidRPr="00725676">
        <w:rPr>
          <w:color w:val="333333" w:themeColor="background1"/>
        </w:rPr>
        <w:br/>
      </w:r>
      <w:r w:rsidRPr="00725676">
        <w:rPr>
          <w:color w:val="333333" w:themeColor="background1"/>
        </w:rPr>
        <w:br/>
        <w:t xml:space="preserve">Strategies in this category focus on several upgrades to grid infrastructure: </w:t>
      </w:r>
    </w:p>
    <w:p w14:paraId="5F68C3FE" w14:textId="77777777" w:rsidR="00B65A50" w:rsidRPr="00F041AD" w:rsidRDefault="00B65A50" w:rsidP="00420CA3">
      <w:pPr>
        <w:pStyle w:val="5BodyText"/>
        <w:numPr>
          <w:ilvl w:val="1"/>
          <w:numId w:val="7"/>
        </w:numPr>
        <w:rPr>
          <w:color w:val="333333" w:themeColor="background1"/>
        </w:rPr>
      </w:pPr>
      <w:r w:rsidRPr="00F041AD">
        <w:rPr>
          <w:color w:val="333333" w:themeColor="background1"/>
        </w:rPr>
        <w:t>Rolling out advanced meters to provide visibility and communications at more points on the grid;</w:t>
      </w:r>
    </w:p>
    <w:p w14:paraId="5133DF28" w14:textId="77777777" w:rsidR="00B65A50" w:rsidRPr="00F041AD" w:rsidRDefault="00B65A50" w:rsidP="00420CA3">
      <w:pPr>
        <w:pStyle w:val="5BodyText"/>
        <w:numPr>
          <w:ilvl w:val="1"/>
          <w:numId w:val="7"/>
        </w:numPr>
        <w:rPr>
          <w:color w:val="333333" w:themeColor="background1"/>
        </w:rPr>
      </w:pPr>
      <w:r w:rsidRPr="00F041AD">
        <w:rPr>
          <w:color w:val="333333" w:themeColor="background1"/>
        </w:rPr>
        <w:t>Adopting smart inverters to provide enhanced visibility and control for distributed PV resources;</w:t>
      </w:r>
    </w:p>
    <w:p w14:paraId="4E04F359" w14:textId="77777777" w:rsidR="00B65A50" w:rsidRPr="00F041AD" w:rsidRDefault="00B65A50" w:rsidP="00420CA3">
      <w:pPr>
        <w:pStyle w:val="5BodyText"/>
        <w:numPr>
          <w:ilvl w:val="1"/>
          <w:numId w:val="7"/>
        </w:numPr>
        <w:rPr>
          <w:color w:val="333333" w:themeColor="background1"/>
        </w:rPr>
      </w:pPr>
      <w:r w:rsidRPr="00F041AD">
        <w:rPr>
          <w:color w:val="333333" w:themeColor="background1"/>
        </w:rPr>
        <w:t>Integrating energy storage and demand response technologies to add flexibility to the grid, reducing costs and allowing integration of more renewable resources.</w:t>
      </w:r>
      <w:r w:rsidRPr="00F041AD">
        <w:rPr>
          <w:color w:val="333333" w:themeColor="background1"/>
        </w:rPr>
        <w:br/>
      </w:r>
    </w:p>
    <w:p w14:paraId="2EF873CD" w14:textId="77777777" w:rsidR="00B65A50" w:rsidRPr="00F041AD" w:rsidRDefault="00B65A50" w:rsidP="00420CA3">
      <w:pPr>
        <w:pStyle w:val="5BodyText"/>
        <w:numPr>
          <w:ilvl w:val="0"/>
          <w:numId w:val="7"/>
        </w:numPr>
        <w:rPr>
          <w:color w:val="333333" w:themeColor="background1"/>
        </w:rPr>
      </w:pPr>
      <w:r w:rsidRPr="00F041AD">
        <w:rPr>
          <w:b/>
          <w:color w:val="333333" w:themeColor="background1"/>
        </w:rPr>
        <w:t>Pricing and tariffs:</w:t>
      </w:r>
      <w:r w:rsidRPr="00F041AD">
        <w:rPr>
          <w:color w:val="333333" w:themeColor="background1"/>
        </w:rPr>
        <w:t xml:space="preserve"> Most Minnesota utilities (like most utilities in other states) typically charge customers based on total kilowatt-hour consumption per month, with no accounting for what the energy source is or the cost to produce that energy, which can vary dramatically based on the time of day and season. Updated retail pricing can better reflect the real grid-level costs of consumption at different times of day or from different sources (e.g. wind power), empowering customers with choices and allowing them to reduce their bills as well as reducing costs for the system as a whole.</w:t>
      </w:r>
      <w:r w:rsidRPr="00F041AD">
        <w:rPr>
          <w:color w:val="333333" w:themeColor="background1"/>
        </w:rPr>
        <w:br/>
      </w:r>
      <w:r w:rsidRPr="00F041AD">
        <w:rPr>
          <w:color w:val="333333" w:themeColor="background1"/>
        </w:rPr>
        <w:br/>
        <w:t xml:space="preserve">Strategies in this category focus on several pricing changes to better reflect the timing and source of purchased electricity: </w:t>
      </w:r>
    </w:p>
    <w:p w14:paraId="0C7F4A7B" w14:textId="77777777" w:rsidR="00B65A50" w:rsidRPr="00F041AD" w:rsidRDefault="00B65A50" w:rsidP="00420CA3">
      <w:pPr>
        <w:pStyle w:val="5BodyText"/>
        <w:numPr>
          <w:ilvl w:val="1"/>
          <w:numId w:val="7"/>
        </w:numPr>
        <w:rPr>
          <w:color w:val="333333" w:themeColor="background1"/>
        </w:rPr>
      </w:pPr>
      <w:r w:rsidRPr="00F041AD">
        <w:rPr>
          <w:color w:val="333333" w:themeColor="background1"/>
        </w:rPr>
        <w:t>Time-varying rates that reflect the changing costs of generating electricity across different times of day and seasons;</w:t>
      </w:r>
    </w:p>
    <w:p w14:paraId="0A58FD58" w14:textId="77777777" w:rsidR="00B65A50" w:rsidRPr="00F041AD" w:rsidRDefault="00B65A50" w:rsidP="00420CA3">
      <w:pPr>
        <w:pStyle w:val="5BodyText"/>
        <w:numPr>
          <w:ilvl w:val="1"/>
          <w:numId w:val="7"/>
        </w:numPr>
        <w:rPr>
          <w:color w:val="333333" w:themeColor="background1"/>
        </w:rPr>
      </w:pPr>
      <w:r w:rsidRPr="00F041AD">
        <w:rPr>
          <w:color w:val="333333" w:themeColor="background1"/>
        </w:rPr>
        <w:t xml:space="preserve">Green tariffs that allow customers to purchase renewable energy through their utility. </w:t>
      </w:r>
    </w:p>
    <w:p w14:paraId="4E6AAEB3" w14:textId="77777777" w:rsidR="00B65A50" w:rsidRPr="00F041AD" w:rsidRDefault="00B65A50" w:rsidP="00420CA3">
      <w:pPr>
        <w:pStyle w:val="5BodyText"/>
        <w:rPr>
          <w:color w:val="333333" w:themeColor="background1"/>
        </w:rPr>
      </w:pPr>
    </w:p>
    <w:p w14:paraId="469E9FF1" w14:textId="77777777" w:rsidR="00B65A50" w:rsidRPr="00F041AD" w:rsidRDefault="00B65A50" w:rsidP="00413782">
      <w:pPr>
        <w:pStyle w:val="5BodyText"/>
        <w:rPr>
          <w:color w:val="333333" w:themeColor="background1"/>
        </w:rPr>
      </w:pPr>
    </w:p>
    <w:p w14:paraId="5B172F63" w14:textId="1BDBA1BD" w:rsidR="00B65A50" w:rsidRPr="00F041AD" w:rsidRDefault="00725676" w:rsidP="004C45CB">
      <w:pPr>
        <w:pStyle w:val="StrategyName"/>
      </w:pPr>
      <w:bookmarkStart w:id="158" w:name="_Toc322961632"/>
      <w:bookmarkStart w:id="159" w:name="_Toc322962037"/>
      <w:bookmarkStart w:id="160" w:name="_Toc322962224"/>
      <w:r>
        <w:t>B1</w:t>
      </w:r>
      <w:r w:rsidR="00B65A50" w:rsidRPr="00F041AD">
        <w:t>: Deploy advanced metering infrastructure (AMI)</w:t>
      </w:r>
      <w:bookmarkEnd w:id="158"/>
      <w:bookmarkEnd w:id="159"/>
      <w:bookmarkEnd w:id="160"/>
      <w:r w:rsidR="00B65A50" w:rsidRPr="00F041AD">
        <w:t xml:space="preserve"> </w:t>
      </w:r>
    </w:p>
    <w:p w14:paraId="4E364636" w14:textId="77777777" w:rsidR="000034E1" w:rsidRPr="00F041AD" w:rsidRDefault="000034E1" w:rsidP="000034E1">
      <w:pPr>
        <w:pStyle w:val="5BodyText"/>
        <w:rPr>
          <w:color w:val="333333" w:themeColor="background1"/>
        </w:rPr>
      </w:pPr>
    </w:p>
    <w:p w14:paraId="2381C3B4" w14:textId="77777777" w:rsidR="00B65A50" w:rsidRPr="00F041AD" w:rsidRDefault="00B65A50" w:rsidP="004A44B9">
      <w:pPr>
        <w:pStyle w:val="5BodyText"/>
        <w:rPr>
          <w:b/>
          <w:i/>
          <w:color w:val="333333" w:themeColor="background1"/>
        </w:rPr>
      </w:pPr>
      <w:r w:rsidRPr="00F041AD">
        <w:rPr>
          <w:b/>
          <w:i/>
          <w:color w:val="333333" w:themeColor="background1"/>
        </w:rPr>
        <w:t>Strategy overview</w:t>
      </w:r>
    </w:p>
    <w:p w14:paraId="443DA8F5" w14:textId="77777777" w:rsidR="00B65A50" w:rsidRPr="00F041AD" w:rsidRDefault="00B65A50" w:rsidP="004A44B9">
      <w:pPr>
        <w:pStyle w:val="5BodyText"/>
        <w:rPr>
          <w:color w:val="333333" w:themeColor="background1"/>
        </w:rPr>
      </w:pPr>
      <w:r w:rsidRPr="00F041AD">
        <w:rPr>
          <w:color w:val="333333" w:themeColor="background1"/>
        </w:rPr>
        <w:t xml:space="preserve">Electricity meters are the interface between utilities and customers. However, even as an increasing share of modern life becomes more data-rich and connected, the way in which we measure electricity use looks much the same as it has for the last century. Most meters in Minnesota only record total energy used on a daily or </w:t>
      </w:r>
      <w:r w:rsidRPr="00F041AD">
        <w:rPr>
          <w:color w:val="333333" w:themeColor="background1"/>
        </w:rPr>
        <w:lastRenderedPageBreak/>
        <w:t xml:space="preserve">even monthly basis, and offer no capability for two-way communications between utility operators and the meter. </w:t>
      </w:r>
    </w:p>
    <w:p w14:paraId="0C878D4F" w14:textId="77777777" w:rsidR="00B65A50" w:rsidRPr="00F041AD" w:rsidRDefault="00B65A50" w:rsidP="004A44B9">
      <w:pPr>
        <w:pStyle w:val="5BodyText"/>
        <w:rPr>
          <w:color w:val="333333" w:themeColor="background1"/>
        </w:rPr>
      </w:pPr>
    </w:p>
    <w:p w14:paraId="4744BC0F" w14:textId="5455646E" w:rsidR="00B65A50" w:rsidRPr="00F041AD" w:rsidRDefault="00B65A50" w:rsidP="004A44B9">
      <w:pPr>
        <w:pStyle w:val="5BodyText"/>
        <w:rPr>
          <w:color w:val="333333" w:themeColor="background1"/>
        </w:rPr>
      </w:pPr>
      <w:r w:rsidRPr="00F041AD">
        <w:rPr>
          <w:color w:val="333333" w:themeColor="background1"/>
        </w:rPr>
        <w:t xml:space="preserve">To address these limitations, utilities in many states have adopted a newer technology known as advanced metering infrastructure (AMI), or “smart meters.”  Nationwide, there were more than 50 million smart meters deployed to utility customers as of mid-2014, or 36 percent of the total number of meters. However, in Minnesota, only 12 percent of customers were connected to AMI as of 2014 (see </w:t>
      </w:r>
      <w:r w:rsidRPr="00F041AD">
        <w:rPr>
          <w:color w:val="333333" w:themeColor="background1"/>
        </w:rPr>
        <w:fldChar w:fldCharType="begin"/>
      </w:r>
      <w:r w:rsidRPr="00F041AD">
        <w:rPr>
          <w:color w:val="333333" w:themeColor="background1"/>
        </w:rPr>
        <w:instrText xml:space="preserve"> REF _Ref322842418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Figure </w:t>
      </w:r>
      <w:r w:rsidR="00171E58">
        <w:rPr>
          <w:noProof/>
          <w:color w:val="333333" w:themeColor="background1"/>
        </w:rPr>
        <w:t>15</w:t>
      </w:r>
      <w:r w:rsidRPr="00F041AD">
        <w:rPr>
          <w:color w:val="333333" w:themeColor="background1"/>
        </w:rPr>
        <w:fldChar w:fldCharType="end"/>
      </w:r>
      <w:r w:rsidRPr="00F041AD">
        <w:rPr>
          <w:color w:val="333333" w:themeColor="background1"/>
        </w:rPr>
        <w:t>).</w:t>
      </w:r>
    </w:p>
    <w:p w14:paraId="707301AD" w14:textId="77777777" w:rsidR="00B65A50" w:rsidRPr="00F041AD" w:rsidRDefault="00B65A50" w:rsidP="004A44B9">
      <w:pPr>
        <w:pStyle w:val="5BodyText"/>
        <w:rPr>
          <w:color w:val="333333" w:themeColor="background1"/>
        </w:rPr>
      </w:pPr>
    </w:p>
    <w:p w14:paraId="07143D04" w14:textId="4DAB6301" w:rsidR="00B65A50" w:rsidRPr="00F041AD" w:rsidRDefault="00B65A50" w:rsidP="001A595B">
      <w:pPr>
        <w:pStyle w:val="7Caption"/>
        <w:rPr>
          <w:color w:val="333333" w:themeColor="background1"/>
        </w:rPr>
      </w:pPr>
      <w:bookmarkStart w:id="161" w:name="_Ref322842418"/>
      <w:bookmarkStart w:id="162" w:name="_Ref322842405"/>
      <w:bookmarkStart w:id="163" w:name="_Toc322958524"/>
      <w:r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15</w:t>
      </w:r>
      <w:r w:rsidR="0010025D" w:rsidRPr="00F041AD">
        <w:rPr>
          <w:noProof/>
          <w:color w:val="333333" w:themeColor="background1"/>
        </w:rPr>
        <w:fldChar w:fldCharType="end"/>
      </w:r>
      <w:bookmarkEnd w:id="161"/>
      <w:r w:rsidRPr="00F041AD">
        <w:rPr>
          <w:color w:val="333333" w:themeColor="background1"/>
        </w:rPr>
        <w:t>: AMI adoption by state, 2014</w:t>
      </w:r>
      <w:bookmarkEnd w:id="162"/>
      <w:bookmarkEnd w:id="163"/>
    </w:p>
    <w:p w14:paraId="43020EBB" w14:textId="739C9A86" w:rsidR="00B65A50" w:rsidRPr="00F041AD" w:rsidRDefault="00B65A50" w:rsidP="001A595B">
      <w:pPr>
        <w:keepNext/>
        <w:keepLines/>
        <w:rPr>
          <w:color w:val="333333" w:themeColor="background1"/>
        </w:rPr>
      </w:pPr>
      <w:r w:rsidRPr="00F041AD">
        <w:rPr>
          <w:noProof/>
          <w:color w:val="333333" w:themeColor="background1"/>
          <w:lang w:eastAsia="en-US"/>
        </w:rPr>
        <w:drawing>
          <wp:inline distT="0" distB="0" distL="0" distR="0" wp14:anchorId="59E0F8A5" wp14:editId="3D5BC472">
            <wp:extent cx="5080635" cy="2773768"/>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1"/>
                    <a:stretch>
                      <a:fillRect/>
                    </a:stretch>
                  </pic:blipFill>
                  <pic:spPr>
                    <a:xfrm>
                      <a:off x="0" y="0"/>
                      <a:ext cx="5081325" cy="2774145"/>
                    </a:xfrm>
                    <a:prstGeom prst="rect">
                      <a:avLst/>
                    </a:prstGeom>
                  </pic:spPr>
                </pic:pic>
              </a:graphicData>
            </a:graphic>
          </wp:inline>
        </w:drawing>
      </w:r>
    </w:p>
    <w:p w14:paraId="4B0DE7E4" w14:textId="06601175" w:rsidR="00B65A50" w:rsidRPr="00F041AD" w:rsidRDefault="00B65A50" w:rsidP="001A595B">
      <w:pPr>
        <w:pStyle w:val="5BodyText"/>
        <w:keepNext/>
        <w:keepLines/>
        <w:rPr>
          <w:color w:val="333333" w:themeColor="background1"/>
          <w:sz w:val="18"/>
        </w:rPr>
      </w:pPr>
      <w:r w:rsidRPr="00F041AD">
        <w:rPr>
          <w:color w:val="333333" w:themeColor="background1"/>
          <w:sz w:val="18"/>
        </w:rPr>
        <w:t>Source: U.S. Energy Information Administration, Form 861</w:t>
      </w:r>
    </w:p>
    <w:p w14:paraId="2B09F557" w14:textId="77777777" w:rsidR="00B65A50" w:rsidRPr="00F041AD" w:rsidRDefault="00B65A50" w:rsidP="00744212">
      <w:pPr>
        <w:pStyle w:val="5BodyText"/>
        <w:rPr>
          <w:color w:val="333333" w:themeColor="background1"/>
        </w:rPr>
      </w:pPr>
    </w:p>
    <w:p w14:paraId="048C11B9" w14:textId="77777777" w:rsidR="00B65A50" w:rsidRPr="00F041AD" w:rsidRDefault="00B65A50" w:rsidP="00744212">
      <w:pPr>
        <w:pStyle w:val="5BodyText"/>
        <w:rPr>
          <w:color w:val="333333" w:themeColor="background1"/>
        </w:rPr>
      </w:pPr>
    </w:p>
    <w:p w14:paraId="0C90A48D" w14:textId="77777777" w:rsidR="00B65A50" w:rsidRPr="00F041AD" w:rsidRDefault="00B65A50" w:rsidP="00744212">
      <w:pPr>
        <w:pStyle w:val="5BodyText"/>
        <w:rPr>
          <w:color w:val="333333" w:themeColor="background1"/>
        </w:rPr>
      </w:pPr>
    </w:p>
    <w:p w14:paraId="195993A9" w14:textId="77777777" w:rsidR="00B65A50" w:rsidRPr="00F041AD" w:rsidRDefault="00B65A50" w:rsidP="004A44B9">
      <w:pPr>
        <w:pStyle w:val="5BodyText"/>
        <w:rPr>
          <w:b/>
          <w:i/>
          <w:color w:val="333333" w:themeColor="background1"/>
        </w:rPr>
      </w:pPr>
      <w:r w:rsidRPr="00F041AD">
        <w:rPr>
          <w:b/>
          <w:i/>
          <w:color w:val="333333" w:themeColor="background1"/>
        </w:rPr>
        <w:t>Specific actions for strategy implementation</w:t>
      </w:r>
    </w:p>
    <w:p w14:paraId="65472B9C" w14:textId="77777777" w:rsidR="00B65A50" w:rsidRPr="00F041AD" w:rsidRDefault="00B65A50" w:rsidP="004A44B9">
      <w:pPr>
        <w:pStyle w:val="5BodyText"/>
        <w:rPr>
          <w:color w:val="333333" w:themeColor="background1"/>
        </w:rPr>
      </w:pPr>
    </w:p>
    <w:p w14:paraId="44D10C7B" w14:textId="7C5C9EAA" w:rsidR="00B65A50" w:rsidRPr="00F041AD" w:rsidRDefault="00B65A50" w:rsidP="00D60FE1">
      <w:pPr>
        <w:pStyle w:val="5BodyText"/>
        <w:numPr>
          <w:ilvl w:val="0"/>
          <w:numId w:val="29"/>
        </w:numPr>
        <w:rPr>
          <w:color w:val="333333" w:themeColor="background1"/>
        </w:rPr>
      </w:pPr>
      <w:r w:rsidRPr="00F041AD">
        <w:rPr>
          <w:b/>
          <w:color w:val="333333" w:themeColor="background1"/>
        </w:rPr>
        <w:t>Assess all possible benefits of AMI when considering deployment.</w:t>
      </w:r>
      <w:r w:rsidRPr="00F041AD">
        <w:rPr>
          <w:b/>
          <w:color w:val="333333" w:themeColor="background1"/>
        </w:rPr>
        <w:br/>
      </w:r>
      <w:r w:rsidRPr="00F041AD">
        <w:rPr>
          <w:color w:val="333333" w:themeColor="background1"/>
        </w:rPr>
        <w:t>AMI can provide many sources of benefit for customers and the grid. Utilities, as the entities responsible for deploying and maintaining AMI, may take the lead in assessing these benefits for their particular systems, including:</w:t>
      </w:r>
      <w:r w:rsidRPr="00F041AD">
        <w:rPr>
          <w:color w:val="333333" w:themeColor="background1"/>
        </w:rPr>
        <w:br/>
      </w:r>
      <w:r w:rsidRPr="00F041AD">
        <w:rPr>
          <w:color w:val="333333" w:themeColor="background1"/>
        </w:rPr>
        <w:br/>
        <w:t xml:space="preserve">- </w:t>
      </w:r>
      <w:r w:rsidRPr="00F041AD">
        <w:rPr>
          <w:i/>
          <w:color w:val="333333" w:themeColor="background1"/>
        </w:rPr>
        <w:t>Support for conservation voltage reduction (CVR) and volt-</w:t>
      </w:r>
      <w:proofErr w:type="spellStart"/>
      <w:r w:rsidRPr="00F041AD">
        <w:rPr>
          <w:i/>
          <w:color w:val="333333" w:themeColor="background1"/>
        </w:rPr>
        <w:t>var</w:t>
      </w:r>
      <w:proofErr w:type="spellEnd"/>
      <w:r w:rsidRPr="00F041AD">
        <w:rPr>
          <w:i/>
          <w:color w:val="333333" w:themeColor="background1"/>
        </w:rPr>
        <w:t xml:space="preserve"> optimization (VVO) programs.</w:t>
      </w:r>
      <w:r w:rsidRPr="00F041AD">
        <w:rPr>
          <w:color w:val="333333" w:themeColor="background1"/>
        </w:rPr>
        <w:t xml:space="preserve"> AMI supports the use of these tools that a utility can use to optimize the flow of power over the grid, helping to reduce energy consumption and peak demand.</w:t>
      </w:r>
      <w:r w:rsidRPr="00F041AD">
        <w:rPr>
          <w:color w:val="333333" w:themeColor="background1"/>
          <w:vertAlign w:val="superscript"/>
        </w:rPr>
        <w:endnoteReference w:id="118"/>
      </w:r>
      <w:r w:rsidRPr="00F041AD">
        <w:rPr>
          <w:color w:val="333333" w:themeColor="background1"/>
        </w:rPr>
        <w:br/>
      </w:r>
      <w:r w:rsidRPr="00F041AD">
        <w:rPr>
          <w:color w:val="333333" w:themeColor="background1"/>
        </w:rPr>
        <w:br/>
      </w:r>
      <w:r w:rsidRPr="00F041AD">
        <w:rPr>
          <w:color w:val="333333" w:themeColor="background1"/>
        </w:rPr>
        <w:lastRenderedPageBreak/>
        <w:t xml:space="preserve">- </w:t>
      </w:r>
      <w:r w:rsidRPr="00F041AD">
        <w:rPr>
          <w:i/>
          <w:color w:val="333333" w:themeColor="background1"/>
        </w:rPr>
        <w:t>Reduced truck rolls and outage duration.</w:t>
      </w:r>
      <w:r w:rsidRPr="00F041AD">
        <w:rPr>
          <w:color w:val="333333" w:themeColor="background1"/>
        </w:rPr>
        <w:t xml:space="preserve"> Utilities frequently have to send workers to investigate grid issues and manually connect or disconnect equipment. AMI allows utilities to do many of these tasks remotely, reducing the number of worker trips to the field (i.e. “truck rolls”) and reducing the duration of outages.</w:t>
      </w:r>
      <w:r w:rsidRPr="00F041AD">
        <w:rPr>
          <w:color w:val="333333" w:themeColor="background1"/>
        </w:rPr>
        <w:br/>
      </w:r>
      <w:r w:rsidRPr="00F041AD">
        <w:rPr>
          <w:color w:val="333333" w:themeColor="background1"/>
        </w:rPr>
        <w:br/>
        <w:t xml:space="preserve">- </w:t>
      </w:r>
      <w:r w:rsidRPr="00F041AD">
        <w:rPr>
          <w:i/>
          <w:color w:val="333333" w:themeColor="background1"/>
        </w:rPr>
        <w:t>Improved system visibility for planning and operations.</w:t>
      </w:r>
      <w:r w:rsidRPr="00F041AD">
        <w:rPr>
          <w:color w:val="333333" w:themeColor="background1"/>
        </w:rPr>
        <w:t xml:space="preserve"> AMI allows utility operators to monitor aspects of the grid, leading to potential savings for both infrastructure planning as well as operational efficiencies. This includes worker safety improvements and visibility for recovery after outages.</w:t>
      </w:r>
      <w:r w:rsidRPr="00F041AD">
        <w:rPr>
          <w:color w:val="333333" w:themeColor="background1"/>
        </w:rPr>
        <w:br/>
      </w:r>
      <w:r w:rsidRPr="00F041AD">
        <w:rPr>
          <w:color w:val="333333" w:themeColor="background1"/>
        </w:rPr>
        <w:br/>
        <w:t xml:space="preserve">- </w:t>
      </w:r>
      <w:r w:rsidRPr="00F041AD">
        <w:rPr>
          <w:i/>
          <w:color w:val="333333" w:themeColor="background1"/>
        </w:rPr>
        <w:t>Cost savings through pricing and payment programs.</w:t>
      </w:r>
      <w:r w:rsidRPr="00F041AD">
        <w:rPr>
          <w:color w:val="333333" w:themeColor="background1"/>
        </w:rPr>
        <w:t xml:space="preserve"> AMI facilitates the adoption of time-varying and other advanced rates, which can lead to cost reductions for both customers and the utility through reduced peak demand and lower consumption.</w:t>
      </w:r>
      <w:r w:rsidRPr="00F041AD">
        <w:rPr>
          <w:color w:val="333333" w:themeColor="background1"/>
        </w:rPr>
        <w:br/>
      </w:r>
      <w:r w:rsidRPr="00F041AD">
        <w:rPr>
          <w:color w:val="333333" w:themeColor="background1"/>
        </w:rPr>
        <w:br/>
      </w:r>
      <w:r w:rsidRPr="00F041AD">
        <w:rPr>
          <w:b/>
          <w:color w:val="333333" w:themeColor="background1"/>
        </w:rPr>
        <w:t>Champions/Key participants:</w:t>
      </w:r>
      <w:r w:rsidRPr="00F041AD">
        <w:rPr>
          <w:b/>
          <w:color w:val="333333" w:themeColor="background1"/>
        </w:rPr>
        <w:br/>
        <w:t xml:space="preserve">- </w:t>
      </w:r>
      <w:r w:rsidRPr="00F041AD">
        <w:rPr>
          <w:color w:val="333333" w:themeColor="background1"/>
          <w:u w:val="single"/>
        </w:rPr>
        <w:t>Minnesota Power</w:t>
      </w:r>
      <w:r w:rsidRPr="00F041AD">
        <w:rPr>
          <w:color w:val="333333" w:themeColor="background1"/>
        </w:rPr>
        <w:t xml:space="preserve"> has already achieved 31 percent rollout of AMI meters in its territory. The utility can share its lessons learned with other stakeholders to more fully elaborate the value of AMI in the state.</w:t>
      </w:r>
      <w:r w:rsidRPr="00F041AD">
        <w:rPr>
          <w:color w:val="333333" w:themeColor="background1"/>
        </w:rPr>
        <w:br/>
        <w:t xml:space="preserve">- </w:t>
      </w:r>
      <w:r w:rsidRPr="00F041AD">
        <w:rPr>
          <w:color w:val="333333" w:themeColor="background1"/>
          <w:u w:val="single"/>
        </w:rPr>
        <w:t>Great River Energy</w:t>
      </w:r>
      <w:r w:rsidRPr="00F041AD">
        <w:rPr>
          <w:color w:val="333333" w:themeColor="background1"/>
        </w:rPr>
        <w:t xml:space="preserve"> helps their member utilities to increase value of AMI following deployment – at least 10 member utilities had rolled out AMI to a significant number of customers as of 2014.</w:t>
      </w:r>
      <w:r w:rsidRPr="00F041AD">
        <w:rPr>
          <w:rStyle w:val="EndnoteReference"/>
          <w:color w:val="333333" w:themeColor="background1"/>
        </w:rPr>
        <w:endnoteReference w:id="119"/>
      </w:r>
      <w:r w:rsidRPr="00F041AD">
        <w:rPr>
          <w:color w:val="333333" w:themeColor="background1"/>
        </w:rPr>
        <w:br/>
        <w:t xml:space="preserve">- </w:t>
      </w:r>
      <w:r w:rsidRPr="00F041AD">
        <w:rPr>
          <w:color w:val="333333" w:themeColor="background1"/>
          <w:u w:val="single"/>
        </w:rPr>
        <w:t>Xcel Energy</w:t>
      </w:r>
      <w:r w:rsidRPr="00F041AD">
        <w:rPr>
          <w:color w:val="333333" w:themeColor="background1"/>
        </w:rPr>
        <w:t xml:space="preserve"> indicated in its October 2015 grid modernization filing that it will likely be pursuing AMI cost recovery in a subsequent filing.</w:t>
      </w:r>
      <w:r w:rsidRPr="00F041AD">
        <w:rPr>
          <w:color w:val="333333" w:themeColor="background1"/>
        </w:rPr>
        <w:br/>
        <w:t xml:space="preserve">- </w:t>
      </w:r>
      <w:r w:rsidRPr="00F041AD">
        <w:rPr>
          <w:color w:val="333333" w:themeColor="background1"/>
          <w:u w:val="single"/>
        </w:rPr>
        <w:t>Center for Energy and Environment (CEE)</w:t>
      </w:r>
      <w:r w:rsidRPr="00F041AD">
        <w:rPr>
          <w:color w:val="333333" w:themeColor="background1"/>
        </w:rPr>
        <w:t xml:space="preserve"> provides analysis, engagement and education on AMI opportunities and value proposition to end-users and utilities.</w:t>
      </w:r>
      <w:r w:rsidRPr="00F041AD">
        <w:rPr>
          <w:color w:val="333333" w:themeColor="background1"/>
        </w:rPr>
        <w:br/>
      </w:r>
    </w:p>
    <w:p w14:paraId="5933AB17" w14:textId="0C11CD3C" w:rsidR="00B65A50" w:rsidRPr="00F041AD" w:rsidRDefault="00B65A50" w:rsidP="00D60FE1">
      <w:pPr>
        <w:pStyle w:val="5BodyText"/>
        <w:numPr>
          <w:ilvl w:val="0"/>
          <w:numId w:val="29"/>
        </w:numPr>
        <w:rPr>
          <w:color w:val="333333" w:themeColor="background1"/>
        </w:rPr>
      </w:pPr>
      <w:r w:rsidRPr="00F041AD">
        <w:rPr>
          <w:b/>
          <w:color w:val="333333" w:themeColor="background1"/>
        </w:rPr>
        <w:t>Consider all costs of AMI deployment when considering adoption.</w:t>
      </w:r>
      <w:r w:rsidRPr="00F041AD">
        <w:rPr>
          <w:b/>
          <w:color w:val="333333" w:themeColor="background1"/>
        </w:rPr>
        <w:br/>
      </w:r>
      <w:r w:rsidRPr="00F041AD">
        <w:rPr>
          <w:color w:val="333333" w:themeColor="background1"/>
        </w:rPr>
        <w:t xml:space="preserve">Rolling out AMI at scale comes with many costs, which are considered when performing a cost-benefit analysis for a broad deployment. Costs to consider include: </w:t>
      </w:r>
      <w:r w:rsidRPr="00F041AD">
        <w:rPr>
          <w:color w:val="333333" w:themeColor="background1"/>
        </w:rPr>
        <w:br/>
      </w:r>
      <w:r w:rsidRPr="00F041AD">
        <w:rPr>
          <w:color w:val="333333" w:themeColor="background1"/>
        </w:rPr>
        <w:br/>
        <w:t xml:space="preserve">- </w:t>
      </w:r>
      <w:r w:rsidRPr="00F041AD">
        <w:rPr>
          <w:i/>
          <w:color w:val="333333" w:themeColor="background1"/>
        </w:rPr>
        <w:t>Meter capital costs</w:t>
      </w:r>
      <w:r w:rsidRPr="00F041AD">
        <w:rPr>
          <w:color w:val="333333" w:themeColor="background1"/>
        </w:rPr>
        <w:t>. Direct utility capital investment in AMI-connected meters can be substantial. Due to increased functionality, these devices may come at a premium compared to other options.</w:t>
      </w:r>
      <w:r w:rsidRPr="00F041AD">
        <w:rPr>
          <w:color w:val="333333" w:themeColor="background1"/>
        </w:rPr>
        <w:br/>
      </w:r>
      <w:r w:rsidRPr="00F041AD">
        <w:rPr>
          <w:color w:val="333333" w:themeColor="background1"/>
        </w:rPr>
        <w:br/>
        <w:t xml:space="preserve">- </w:t>
      </w:r>
      <w:r w:rsidRPr="00F041AD">
        <w:rPr>
          <w:i/>
          <w:color w:val="333333" w:themeColor="background1"/>
        </w:rPr>
        <w:t>Supporting infrastructure costs.</w:t>
      </w:r>
      <w:r w:rsidRPr="00F041AD">
        <w:rPr>
          <w:color w:val="333333" w:themeColor="background1"/>
        </w:rPr>
        <w:t xml:space="preserve"> AMI systems comprise more than just the meters themselves; they also rely on a network to enable communication between the utility and meters in the field, as well as utility-side, “back end” infrastructure to support the communication and metering functionality. These systems add incremental costs to AMI system rollouts.</w:t>
      </w:r>
      <w:r w:rsidRPr="00F041AD">
        <w:rPr>
          <w:color w:val="333333" w:themeColor="background1"/>
        </w:rPr>
        <w:br/>
      </w:r>
      <w:r w:rsidRPr="00F041AD">
        <w:rPr>
          <w:color w:val="333333" w:themeColor="background1"/>
        </w:rPr>
        <w:br/>
      </w:r>
      <w:r w:rsidRPr="00F041AD">
        <w:rPr>
          <w:color w:val="333333" w:themeColor="background1"/>
        </w:rPr>
        <w:lastRenderedPageBreak/>
        <w:t xml:space="preserve">- </w:t>
      </w:r>
      <w:r w:rsidRPr="00F041AD">
        <w:rPr>
          <w:i/>
          <w:color w:val="333333" w:themeColor="background1"/>
        </w:rPr>
        <w:t>Ongoing operating expenses.</w:t>
      </w:r>
      <w:r w:rsidRPr="00F041AD">
        <w:rPr>
          <w:color w:val="333333" w:themeColor="background1"/>
        </w:rPr>
        <w:t xml:space="preserve"> Maintaining the information technology systems necessary to realize value from AMI deployment requires ongoing expenses that are incremental to costs from legacy systems.</w:t>
      </w:r>
      <w:r w:rsidRPr="00F041AD">
        <w:rPr>
          <w:color w:val="333333" w:themeColor="background1"/>
        </w:rPr>
        <w:br/>
      </w:r>
      <w:r w:rsidRPr="00F041AD">
        <w:rPr>
          <w:color w:val="333333" w:themeColor="background1"/>
        </w:rPr>
        <w:br/>
      </w:r>
      <w:r w:rsidRPr="00F041AD">
        <w:rPr>
          <w:b/>
          <w:color w:val="333333" w:themeColor="background1"/>
        </w:rPr>
        <w:t xml:space="preserve">Champions/Key participants: </w:t>
      </w:r>
      <w:r w:rsidRPr="00F041AD">
        <w:rPr>
          <w:color w:val="333333" w:themeColor="background1"/>
        </w:rPr>
        <w:br/>
        <w:t xml:space="preserve">- </w:t>
      </w:r>
      <w:r w:rsidRPr="00F041AD">
        <w:rPr>
          <w:color w:val="333333" w:themeColor="background1"/>
          <w:u w:val="single"/>
        </w:rPr>
        <w:t>Minnesota Power</w:t>
      </w:r>
      <w:r w:rsidRPr="00F041AD">
        <w:rPr>
          <w:color w:val="333333" w:themeColor="background1"/>
        </w:rPr>
        <w:t xml:space="preserve"> has already achieved 31 percent rollout of AMI meters in its territory. The utility can share its lessons learned with other stakeholders to more fully elaborate the costs of AMI in the state.</w:t>
      </w:r>
      <w:r w:rsidRPr="00F041AD">
        <w:rPr>
          <w:color w:val="333333" w:themeColor="background1"/>
        </w:rPr>
        <w:br/>
        <w:t xml:space="preserve">- </w:t>
      </w:r>
      <w:r w:rsidRPr="00F041AD">
        <w:rPr>
          <w:color w:val="333333" w:themeColor="background1"/>
          <w:u w:val="single"/>
        </w:rPr>
        <w:t>Xcel Energy</w:t>
      </w:r>
      <w:r w:rsidRPr="00F041AD">
        <w:rPr>
          <w:color w:val="333333" w:themeColor="background1"/>
        </w:rPr>
        <w:t xml:space="preserve"> indicated in its October 2015 grid modernization filing that it will likely be pursuing AMI cost recovery in a subsequent filing.</w:t>
      </w:r>
      <w:r w:rsidRPr="00F041AD">
        <w:rPr>
          <w:color w:val="333333" w:themeColor="background1"/>
        </w:rPr>
        <w:br/>
        <w:t xml:space="preserve">- </w:t>
      </w:r>
      <w:r w:rsidRPr="00F041AD">
        <w:rPr>
          <w:color w:val="333333" w:themeColor="background1"/>
          <w:u w:val="single"/>
        </w:rPr>
        <w:t>Great River Energy</w:t>
      </w:r>
      <w:r w:rsidRPr="00F041AD">
        <w:rPr>
          <w:color w:val="333333" w:themeColor="background1"/>
        </w:rPr>
        <w:t xml:space="preserve"> member utilities</w:t>
      </w:r>
      <w:r w:rsidRPr="00F041AD">
        <w:rPr>
          <w:color w:val="333333" w:themeColor="background1"/>
        </w:rPr>
        <w:br/>
        <w:t xml:space="preserve">- </w:t>
      </w:r>
      <w:r w:rsidRPr="00F041AD">
        <w:rPr>
          <w:color w:val="333333" w:themeColor="background1"/>
          <w:u w:val="single"/>
        </w:rPr>
        <w:t>CEE</w:t>
      </w:r>
      <w:r w:rsidRPr="00F041AD">
        <w:rPr>
          <w:color w:val="333333" w:themeColor="background1"/>
        </w:rPr>
        <w:t xml:space="preserve"> provides analysis, engagement and education on AMI opportunities and value proposition to end-users and utilities.</w:t>
      </w:r>
      <w:r w:rsidRPr="00F041AD">
        <w:rPr>
          <w:color w:val="333333" w:themeColor="background1"/>
        </w:rPr>
        <w:br/>
      </w:r>
    </w:p>
    <w:p w14:paraId="3DDD14C4" w14:textId="392086C3" w:rsidR="00B65A50" w:rsidRPr="00F041AD" w:rsidRDefault="00B65A50" w:rsidP="00D60FE1">
      <w:pPr>
        <w:pStyle w:val="5BodyText"/>
        <w:numPr>
          <w:ilvl w:val="0"/>
          <w:numId w:val="29"/>
        </w:numPr>
        <w:rPr>
          <w:color w:val="333333" w:themeColor="background1"/>
        </w:rPr>
      </w:pPr>
      <w:r w:rsidRPr="00F041AD">
        <w:rPr>
          <w:b/>
          <w:color w:val="333333" w:themeColor="background1"/>
        </w:rPr>
        <w:t>Analyze the value of deploying AMI across different geographies.</w:t>
      </w:r>
      <w:r w:rsidRPr="00F041AD">
        <w:rPr>
          <w:color w:val="333333" w:themeColor="background1"/>
        </w:rPr>
        <w:br/>
        <w:t xml:space="preserve">Utilities can assess the benefits of deploying AMI in a targeted manner against the economies of scale associated with pursuing service territory-wide rollout. Phased adoption approaches can be used to target early deployment to areas with the highest immediate value, and/or or the highest potential to realize certain benefits of AMI deployment. For example, utilities could choose to target initial AMI adoption in areas with forecast demand growth, or with high adoption of distributed energy resources such as solar PV or electric vehicles, in order to leverage the benefits of AMI for those specific use cases and inform the business case for broader adoption. </w:t>
      </w:r>
      <w:r w:rsidRPr="00F041AD">
        <w:rPr>
          <w:color w:val="333333" w:themeColor="background1"/>
        </w:rPr>
        <w:br/>
      </w:r>
      <w:r w:rsidRPr="00F041AD">
        <w:rPr>
          <w:color w:val="333333" w:themeColor="background1"/>
        </w:rPr>
        <w:br/>
      </w:r>
      <w:r w:rsidRPr="00F041AD">
        <w:rPr>
          <w:b/>
          <w:color w:val="333333" w:themeColor="background1"/>
        </w:rPr>
        <w:t xml:space="preserve">Champions/Key Participants: </w:t>
      </w:r>
      <w:r w:rsidRPr="00F041AD">
        <w:rPr>
          <w:b/>
          <w:color w:val="333333" w:themeColor="background1"/>
        </w:rPr>
        <w:br/>
      </w:r>
      <w:r w:rsidRPr="00F041AD">
        <w:rPr>
          <w:color w:val="333333" w:themeColor="background1"/>
        </w:rPr>
        <w:t xml:space="preserve">- </w:t>
      </w:r>
      <w:r w:rsidRPr="00F041AD">
        <w:rPr>
          <w:color w:val="333333" w:themeColor="background1"/>
          <w:u w:val="single"/>
        </w:rPr>
        <w:t>Great River Energy</w:t>
      </w:r>
      <w:r w:rsidRPr="00F041AD">
        <w:rPr>
          <w:color w:val="333333" w:themeColor="background1"/>
        </w:rPr>
        <w:t xml:space="preserve"> member utilities</w:t>
      </w:r>
      <w:r w:rsidRPr="00F041AD">
        <w:rPr>
          <w:color w:val="333333" w:themeColor="background1"/>
        </w:rPr>
        <w:br/>
        <w:t xml:space="preserve">- </w:t>
      </w:r>
      <w:r w:rsidRPr="00F041AD">
        <w:rPr>
          <w:color w:val="333333" w:themeColor="background1"/>
          <w:u w:val="single"/>
        </w:rPr>
        <w:t xml:space="preserve">Minnesota Power </w:t>
      </w:r>
      <w:r w:rsidRPr="00F041AD">
        <w:rPr>
          <w:color w:val="333333" w:themeColor="background1"/>
        </w:rPr>
        <w:t>has already achieved 31 percent rollout of AMI meters in its territory. The utility can share its lessons learned with other stakeholders to more fully elaborate the value of AMI in the state.</w:t>
      </w:r>
      <w:r w:rsidRPr="00F041AD">
        <w:rPr>
          <w:color w:val="333333" w:themeColor="background1"/>
        </w:rPr>
        <w:br/>
        <w:t xml:space="preserve">- </w:t>
      </w:r>
      <w:r w:rsidRPr="00F041AD">
        <w:rPr>
          <w:color w:val="333333" w:themeColor="background1"/>
          <w:u w:val="single"/>
        </w:rPr>
        <w:t>Xcel Energy</w:t>
      </w:r>
      <w:r w:rsidRPr="00F041AD">
        <w:rPr>
          <w:color w:val="333333" w:themeColor="background1"/>
        </w:rPr>
        <w:br/>
        <w:t xml:space="preserve">- </w:t>
      </w:r>
      <w:r w:rsidRPr="00F041AD">
        <w:rPr>
          <w:color w:val="333333" w:themeColor="background1"/>
          <w:u w:val="single"/>
        </w:rPr>
        <w:t>CEE</w:t>
      </w:r>
      <w:r w:rsidRPr="00F041AD">
        <w:rPr>
          <w:color w:val="333333" w:themeColor="background1"/>
        </w:rPr>
        <w:t xml:space="preserve"> provides analysis, engagement and education on AMI opportunities and value proposition to end-users and utilities.</w:t>
      </w:r>
      <w:r w:rsidRPr="00F041AD">
        <w:rPr>
          <w:color w:val="333333" w:themeColor="background1"/>
        </w:rPr>
        <w:br/>
      </w:r>
    </w:p>
    <w:p w14:paraId="07D34D09" w14:textId="2FDEA94D" w:rsidR="00B65A50" w:rsidRPr="00F041AD" w:rsidRDefault="00B65A50" w:rsidP="00D60FE1">
      <w:pPr>
        <w:pStyle w:val="5BodyText"/>
        <w:numPr>
          <w:ilvl w:val="0"/>
          <w:numId w:val="29"/>
        </w:numPr>
        <w:rPr>
          <w:color w:val="333333" w:themeColor="background1"/>
        </w:rPr>
      </w:pPr>
      <w:r w:rsidRPr="00F041AD">
        <w:rPr>
          <w:b/>
          <w:color w:val="333333" w:themeColor="background1"/>
        </w:rPr>
        <w:t>Pilot leading-edge AMI technology and pursue best practices.</w:t>
      </w:r>
      <w:r w:rsidRPr="00F041AD">
        <w:rPr>
          <w:b/>
          <w:color w:val="333333" w:themeColor="background1"/>
        </w:rPr>
        <w:br/>
      </w:r>
      <w:r w:rsidRPr="00F041AD">
        <w:rPr>
          <w:color w:val="333333" w:themeColor="background1"/>
        </w:rPr>
        <w:t xml:space="preserve">AMI systems have evolved over the years since the initial deployment of these systems, and are likely to continue to do so. Utilities may stay abreast of changes in technology costs and capabilities, as well as best practices in realizing AMI benefits gleaned from other utility deployments (e.g. through </w:t>
      </w:r>
      <w:r w:rsidRPr="00F041AD">
        <w:rPr>
          <w:color w:val="333333" w:themeColor="background1"/>
        </w:rPr>
        <w:lastRenderedPageBreak/>
        <w:t>the US Department of Energy’s Smart Grid Investment Grant reporting, expected to continue through 2016).</w:t>
      </w:r>
      <w:r w:rsidRPr="00F041AD">
        <w:rPr>
          <w:color w:val="333333" w:themeColor="background1"/>
        </w:rPr>
        <w:br/>
      </w:r>
      <w:r w:rsidRPr="00F041AD">
        <w:rPr>
          <w:color w:val="333333" w:themeColor="background1"/>
        </w:rPr>
        <w:br/>
      </w:r>
      <w:r w:rsidRPr="00F041AD">
        <w:rPr>
          <w:b/>
          <w:color w:val="333333" w:themeColor="background1"/>
        </w:rPr>
        <w:t>Champions/Key Participants:</w:t>
      </w:r>
      <w:r w:rsidRPr="00F041AD">
        <w:rPr>
          <w:b/>
          <w:color w:val="333333" w:themeColor="background1"/>
        </w:rPr>
        <w:br/>
        <w:t xml:space="preserve">- </w:t>
      </w:r>
      <w:r w:rsidRPr="00F041AD">
        <w:rPr>
          <w:color w:val="333333" w:themeColor="background1"/>
          <w:u w:val="single"/>
        </w:rPr>
        <w:t>Minnesota Power</w:t>
      </w:r>
      <w:r w:rsidRPr="00F041AD">
        <w:rPr>
          <w:color w:val="333333" w:themeColor="background1"/>
        </w:rPr>
        <w:t xml:space="preserve"> has already achieved 31 percent rollout of AMI meters in its territory.  The integration of technology, tools and information were at the heart of Minnesota Power’s Time-of-Day Pilot.  This is an evolving area with plenty of opportunities and challenges.  The utility can share its lessons learned with other stakeholders to identify best practices.</w:t>
      </w:r>
      <w:r w:rsidRPr="00F041AD">
        <w:rPr>
          <w:color w:val="333333" w:themeColor="background1"/>
        </w:rPr>
        <w:br/>
        <w:t xml:space="preserve">- </w:t>
      </w:r>
      <w:r w:rsidRPr="00F041AD">
        <w:rPr>
          <w:color w:val="333333" w:themeColor="background1"/>
          <w:u w:val="single"/>
        </w:rPr>
        <w:t>Great River Energy</w:t>
      </w:r>
      <w:r w:rsidRPr="00F041AD">
        <w:rPr>
          <w:color w:val="333333" w:themeColor="background1"/>
        </w:rPr>
        <w:t xml:space="preserve"> helps their member utilities to increase value of AMI following deployment.</w:t>
      </w:r>
      <w:r w:rsidRPr="00F041AD">
        <w:rPr>
          <w:color w:val="333333" w:themeColor="background1"/>
        </w:rPr>
        <w:br/>
        <w:t xml:space="preserve">- </w:t>
      </w:r>
      <w:r w:rsidRPr="00F041AD">
        <w:rPr>
          <w:color w:val="333333" w:themeColor="background1"/>
          <w:u w:val="single"/>
        </w:rPr>
        <w:t>Xcel Energy</w:t>
      </w:r>
      <w:r w:rsidRPr="00F041AD">
        <w:rPr>
          <w:color w:val="333333" w:themeColor="background1"/>
        </w:rPr>
        <w:t xml:space="preserve"> </w:t>
      </w:r>
      <w:r w:rsidRPr="00F041AD">
        <w:rPr>
          <w:color w:val="333333" w:themeColor="background1"/>
        </w:rPr>
        <w:br/>
        <w:t xml:space="preserve">- </w:t>
      </w:r>
      <w:r w:rsidRPr="00F041AD">
        <w:rPr>
          <w:color w:val="333333" w:themeColor="background1"/>
          <w:u w:val="single"/>
        </w:rPr>
        <w:t>CEE</w:t>
      </w:r>
      <w:r w:rsidRPr="00F041AD">
        <w:rPr>
          <w:color w:val="333333" w:themeColor="background1"/>
        </w:rPr>
        <w:t xml:space="preserve"> provides analysis, engagement and education on AMI opportunities and value proposition to end-users and utilities.</w:t>
      </w:r>
    </w:p>
    <w:p w14:paraId="4E0A262D" w14:textId="77777777" w:rsidR="00B65A50" w:rsidRPr="00F041AD" w:rsidRDefault="00B65A50" w:rsidP="00104816">
      <w:pPr>
        <w:pStyle w:val="5BodyText"/>
        <w:rPr>
          <w:color w:val="333333" w:themeColor="background1"/>
        </w:rPr>
      </w:pPr>
    </w:p>
    <w:p w14:paraId="7667583F" w14:textId="321C48E6" w:rsidR="00B65A50" w:rsidRPr="00F041AD" w:rsidRDefault="00B65A50" w:rsidP="00E136AD">
      <w:pPr>
        <w:pStyle w:val="5BodyText"/>
        <w:rPr>
          <w:b/>
          <w:i/>
          <w:color w:val="333333" w:themeColor="background1"/>
        </w:rPr>
      </w:pPr>
      <w:r w:rsidRPr="00F041AD">
        <w:rPr>
          <w:b/>
          <w:i/>
          <w:color w:val="333333" w:themeColor="background1"/>
        </w:rPr>
        <w:t>Success factors</w:t>
      </w:r>
    </w:p>
    <w:p w14:paraId="047361C6" w14:textId="77777777" w:rsidR="00B65A50" w:rsidRPr="00F041AD" w:rsidRDefault="00B65A50" w:rsidP="00D60FE1">
      <w:pPr>
        <w:pStyle w:val="5BodyText"/>
        <w:numPr>
          <w:ilvl w:val="0"/>
          <w:numId w:val="24"/>
        </w:numPr>
        <w:rPr>
          <w:color w:val="333333" w:themeColor="background1"/>
        </w:rPr>
      </w:pPr>
      <w:r w:rsidRPr="00F041AD">
        <w:rPr>
          <w:b/>
          <w:color w:val="333333" w:themeColor="background1"/>
        </w:rPr>
        <w:t>Alignment on cost-benefit framework for AMI.</w:t>
      </w:r>
      <w:r w:rsidRPr="00F041AD">
        <w:rPr>
          <w:b/>
          <w:i/>
          <w:color w:val="333333" w:themeColor="background1"/>
        </w:rPr>
        <w:t xml:space="preserve"> </w:t>
      </w:r>
      <w:r w:rsidRPr="00F041AD">
        <w:rPr>
          <w:color w:val="333333" w:themeColor="background1"/>
        </w:rPr>
        <w:t>It is important to ensure that all stakeholders are aligned in their understanding of the costs and benefits of AMI. Consumer advocates, utilities, environmental interests, and other stakeholders can agree on the appropriate cost-benefit analysis framework to inform AMI investment plan.</w:t>
      </w:r>
      <w:r w:rsidRPr="00F041AD">
        <w:rPr>
          <w:b/>
          <w:color w:val="333333" w:themeColor="background1"/>
        </w:rPr>
        <w:t xml:space="preserve"> </w:t>
      </w:r>
      <w:r w:rsidRPr="00F041AD">
        <w:rPr>
          <w:b/>
          <w:color w:val="333333" w:themeColor="background1"/>
        </w:rPr>
        <w:br/>
      </w:r>
    </w:p>
    <w:p w14:paraId="7E31303F" w14:textId="7A069861" w:rsidR="00B65A50" w:rsidRPr="00F041AD" w:rsidRDefault="00B65A50" w:rsidP="00D60FE1">
      <w:pPr>
        <w:pStyle w:val="5BodyText"/>
        <w:numPr>
          <w:ilvl w:val="0"/>
          <w:numId w:val="24"/>
        </w:numPr>
        <w:rPr>
          <w:color w:val="333333" w:themeColor="background1"/>
        </w:rPr>
      </w:pPr>
      <w:r w:rsidRPr="00F041AD">
        <w:rPr>
          <w:b/>
          <w:color w:val="333333" w:themeColor="background1"/>
        </w:rPr>
        <w:t>All benefits of AMI are captured</w:t>
      </w:r>
      <w:r w:rsidRPr="00F041AD">
        <w:rPr>
          <w:b/>
          <w:i/>
          <w:color w:val="333333" w:themeColor="background1"/>
        </w:rPr>
        <w:t>.</w:t>
      </w:r>
      <w:r w:rsidRPr="00F041AD">
        <w:rPr>
          <w:color w:val="333333" w:themeColor="background1"/>
        </w:rPr>
        <w:t xml:space="preserve"> Utilities may focus not just on operational savings of deploying AMI (e.g. reduced truck rolls), but also explicitly leverage AMI investment to support customer benefits including time-varying rates, granular customer consumption data access, and integration of distributed energy resources. Utilities can also consider the benefits of allowing new businesses and other third parties to use AMI data and/or functionality in new product offerings.</w:t>
      </w:r>
      <w:r w:rsidRPr="00F041AD">
        <w:rPr>
          <w:color w:val="333333" w:themeColor="background1"/>
        </w:rPr>
        <w:br/>
      </w:r>
    </w:p>
    <w:p w14:paraId="75B16929" w14:textId="4014D39A" w:rsidR="00B65A50" w:rsidRPr="00F041AD" w:rsidRDefault="00B65A50" w:rsidP="00D60FE1">
      <w:pPr>
        <w:pStyle w:val="5BodyText"/>
        <w:numPr>
          <w:ilvl w:val="0"/>
          <w:numId w:val="24"/>
        </w:numPr>
        <w:rPr>
          <w:color w:val="333333" w:themeColor="background1"/>
        </w:rPr>
      </w:pPr>
      <w:r w:rsidRPr="00F041AD">
        <w:rPr>
          <w:b/>
          <w:color w:val="333333" w:themeColor="background1"/>
        </w:rPr>
        <w:t>Secure data and information transfer are in place</w:t>
      </w:r>
      <w:r w:rsidRPr="00F041AD">
        <w:rPr>
          <w:b/>
          <w:i/>
          <w:color w:val="333333" w:themeColor="background1"/>
        </w:rPr>
        <w:t xml:space="preserve">. </w:t>
      </w:r>
      <w:r w:rsidRPr="00F041AD">
        <w:rPr>
          <w:color w:val="333333" w:themeColor="background1"/>
        </w:rPr>
        <w:t>Without utility-side software and other infrastructure to allow for data analysis, processing, and reporting, AMI data is much less actionable. Utilities could consider prioritizing this functionality in AMI deployments. In addition, utilities could consider ensuring that software applications for AMI data, both utility- and customer-facing, are standardized to the extent possible to avoid duplicative spending. Steps can be taken to investigate if these systems are secure in order to ensure that customer data remains private. Further, data transfer capacity can be enabled through dedicated radio frequency bandwidth.</w:t>
      </w:r>
    </w:p>
    <w:p w14:paraId="6EB10F01" w14:textId="77777777" w:rsidR="00B65A50" w:rsidRPr="00F041AD" w:rsidRDefault="00B65A50" w:rsidP="00DC0D5E">
      <w:pPr>
        <w:pStyle w:val="5BodyText"/>
        <w:rPr>
          <w:color w:val="333333" w:themeColor="background1"/>
        </w:rPr>
      </w:pPr>
    </w:p>
    <w:p w14:paraId="19999DFD" w14:textId="283D5404" w:rsidR="00B65A50" w:rsidRPr="00F041AD" w:rsidRDefault="00B65A50" w:rsidP="00E136AD">
      <w:pPr>
        <w:pStyle w:val="5BodyText"/>
        <w:rPr>
          <w:b/>
          <w:i/>
          <w:color w:val="333333" w:themeColor="background1"/>
        </w:rPr>
      </w:pPr>
      <w:r w:rsidRPr="00F041AD">
        <w:rPr>
          <w:b/>
          <w:i/>
          <w:color w:val="333333" w:themeColor="background1"/>
        </w:rPr>
        <w:t>Indicators of strategy success</w:t>
      </w:r>
    </w:p>
    <w:p w14:paraId="32AB1283" w14:textId="38EFBF76" w:rsidR="00B65A50" w:rsidRPr="00F041AD" w:rsidRDefault="00B65A50" w:rsidP="00D60FE1">
      <w:pPr>
        <w:pStyle w:val="5BodyText"/>
        <w:numPr>
          <w:ilvl w:val="0"/>
          <w:numId w:val="25"/>
        </w:numPr>
        <w:rPr>
          <w:color w:val="333333" w:themeColor="background1"/>
        </w:rPr>
      </w:pPr>
      <w:r w:rsidRPr="00F041AD">
        <w:rPr>
          <w:color w:val="333333" w:themeColor="background1"/>
        </w:rPr>
        <w:t>AMI adoption, statewide and per-utility (number of meters, percent rollout)</w:t>
      </w:r>
      <w:r w:rsidRPr="00F041AD">
        <w:rPr>
          <w:rStyle w:val="EndnoteReference"/>
          <w:rFonts w:asciiTheme="minorHAnsi" w:hAnsiTheme="minorHAnsi"/>
          <w:color w:val="333333" w:themeColor="background1"/>
        </w:rPr>
        <w:endnoteReference w:id="120"/>
      </w:r>
      <w:r w:rsidRPr="00F041AD">
        <w:rPr>
          <w:color w:val="333333" w:themeColor="background1"/>
        </w:rPr>
        <w:t xml:space="preserve"> </w:t>
      </w:r>
    </w:p>
    <w:p w14:paraId="67F1F804" w14:textId="53AAFB96" w:rsidR="00B65A50" w:rsidRPr="00F041AD" w:rsidRDefault="00B65A50" w:rsidP="00D60FE1">
      <w:pPr>
        <w:pStyle w:val="5BodyText"/>
        <w:numPr>
          <w:ilvl w:val="0"/>
          <w:numId w:val="25"/>
        </w:numPr>
        <w:rPr>
          <w:color w:val="333333" w:themeColor="background1"/>
        </w:rPr>
      </w:pPr>
      <w:r w:rsidRPr="00F041AD">
        <w:rPr>
          <w:color w:val="333333" w:themeColor="background1"/>
        </w:rPr>
        <w:t>Cost of deployment, statewide and per-utility</w:t>
      </w:r>
    </w:p>
    <w:p w14:paraId="48C495C8" w14:textId="1C64BAB0" w:rsidR="00B65A50" w:rsidRPr="00F041AD" w:rsidRDefault="00B65A50" w:rsidP="00D60FE1">
      <w:pPr>
        <w:pStyle w:val="5BodyText"/>
        <w:numPr>
          <w:ilvl w:val="0"/>
          <w:numId w:val="25"/>
        </w:numPr>
        <w:rPr>
          <w:color w:val="333333" w:themeColor="background1"/>
        </w:rPr>
      </w:pPr>
      <w:r w:rsidRPr="00F041AD">
        <w:rPr>
          <w:color w:val="333333" w:themeColor="background1"/>
        </w:rPr>
        <w:lastRenderedPageBreak/>
        <w:t>Reported benefits from programs that leverage AMI in dollars saved, statewide and per-utility</w:t>
      </w:r>
    </w:p>
    <w:p w14:paraId="61B097A4" w14:textId="77777777" w:rsidR="00B65A50" w:rsidRPr="00F041AD" w:rsidRDefault="00B65A50" w:rsidP="00F455AD">
      <w:pPr>
        <w:pStyle w:val="5BodyText"/>
        <w:rPr>
          <w:color w:val="333333" w:themeColor="background1"/>
        </w:rPr>
      </w:pPr>
    </w:p>
    <w:p w14:paraId="2DE20CC1" w14:textId="4C9ABBBF" w:rsidR="00B65A50" w:rsidRPr="00F041AD" w:rsidRDefault="00B65A50" w:rsidP="00E136AD">
      <w:pPr>
        <w:pStyle w:val="5BodyText"/>
        <w:rPr>
          <w:b/>
          <w:i/>
          <w:color w:val="333333" w:themeColor="background1"/>
        </w:rPr>
      </w:pPr>
      <w:r w:rsidRPr="00F041AD">
        <w:rPr>
          <w:b/>
          <w:i/>
          <w:color w:val="333333" w:themeColor="background1"/>
        </w:rPr>
        <w:t>Cross-sector opportunities and synergies</w:t>
      </w:r>
    </w:p>
    <w:p w14:paraId="67216F44" w14:textId="77777777" w:rsidR="00B65A50" w:rsidRPr="00F041AD" w:rsidRDefault="00B65A50" w:rsidP="00D60FE1">
      <w:pPr>
        <w:pStyle w:val="5BodyText"/>
        <w:numPr>
          <w:ilvl w:val="0"/>
          <w:numId w:val="26"/>
        </w:numPr>
        <w:rPr>
          <w:color w:val="333333" w:themeColor="background1"/>
        </w:rPr>
      </w:pPr>
      <w:r w:rsidRPr="00F041AD">
        <w:rPr>
          <w:color w:val="333333" w:themeColor="background1"/>
        </w:rPr>
        <w:t xml:space="preserve">AMI can facilitate </w:t>
      </w:r>
      <w:r w:rsidRPr="00F041AD">
        <w:rPr>
          <w:b/>
          <w:color w:val="333333" w:themeColor="background1"/>
        </w:rPr>
        <w:t>energy data access</w:t>
      </w:r>
      <w:r w:rsidRPr="00F041AD">
        <w:rPr>
          <w:color w:val="333333" w:themeColor="background1"/>
        </w:rPr>
        <w:t xml:space="preserve"> to drive building energy efficiency. The interval data offered by AMI, as well as the near-real time availability of data from AMI systems to customers, can be leveraged by customers and/or third party service providers to identify high-value efficiency or conservation opportunities.</w:t>
      </w:r>
      <w:r w:rsidRPr="00F041AD">
        <w:rPr>
          <w:color w:val="333333" w:themeColor="background1"/>
        </w:rPr>
        <w:br/>
      </w:r>
    </w:p>
    <w:p w14:paraId="08B67E97" w14:textId="77777777" w:rsidR="00B65A50" w:rsidRPr="00F041AD" w:rsidRDefault="00B65A50" w:rsidP="00D60FE1">
      <w:pPr>
        <w:pStyle w:val="5BodyText"/>
        <w:numPr>
          <w:ilvl w:val="0"/>
          <w:numId w:val="26"/>
        </w:numPr>
        <w:rPr>
          <w:color w:val="333333" w:themeColor="background1"/>
        </w:rPr>
      </w:pPr>
      <w:r w:rsidRPr="00F041AD">
        <w:rPr>
          <w:color w:val="333333" w:themeColor="background1"/>
        </w:rPr>
        <w:t xml:space="preserve">AMI can allow utilities additional flexibility in </w:t>
      </w:r>
      <w:r w:rsidRPr="00F041AD">
        <w:rPr>
          <w:b/>
          <w:color w:val="333333" w:themeColor="background1"/>
        </w:rPr>
        <w:t>demand response</w:t>
      </w:r>
      <w:r w:rsidRPr="00F041AD">
        <w:rPr>
          <w:color w:val="333333" w:themeColor="background1"/>
        </w:rPr>
        <w:t xml:space="preserve"> program design and implementation. AMI facilitates both the granular data needed to inform program design, as well as a communication pathway that can be used to control loads during demand response events.</w:t>
      </w:r>
      <w:r w:rsidRPr="00F041AD">
        <w:rPr>
          <w:color w:val="333333" w:themeColor="background1"/>
        </w:rPr>
        <w:br/>
      </w:r>
    </w:p>
    <w:p w14:paraId="5C231622" w14:textId="77777777" w:rsidR="00B65A50" w:rsidRPr="00F041AD" w:rsidRDefault="00B65A50" w:rsidP="00D60FE1">
      <w:pPr>
        <w:pStyle w:val="5BodyText"/>
        <w:numPr>
          <w:ilvl w:val="0"/>
          <w:numId w:val="26"/>
        </w:numPr>
        <w:rPr>
          <w:color w:val="333333" w:themeColor="background1"/>
        </w:rPr>
      </w:pPr>
      <w:r w:rsidRPr="00F041AD">
        <w:rPr>
          <w:color w:val="333333" w:themeColor="background1"/>
        </w:rPr>
        <w:t xml:space="preserve">AMI can support </w:t>
      </w:r>
      <w:r w:rsidRPr="00F041AD">
        <w:rPr>
          <w:b/>
          <w:color w:val="333333" w:themeColor="background1"/>
        </w:rPr>
        <w:t>time-varying rate programs</w:t>
      </w:r>
      <w:r w:rsidRPr="00F041AD">
        <w:rPr>
          <w:color w:val="333333" w:themeColor="background1"/>
        </w:rPr>
        <w:t xml:space="preserve"> to encourage energy efficiency and peak demand reduction. An AMI system allows a utility to track customer energy consumption at an hourly or even 15-minute level, allowing the implementation of time-varying rates that can more accurately align customer pricing with utility cost structures.</w:t>
      </w:r>
      <w:r w:rsidRPr="00F041AD">
        <w:rPr>
          <w:color w:val="333333" w:themeColor="background1"/>
        </w:rPr>
        <w:br/>
      </w:r>
    </w:p>
    <w:p w14:paraId="491507CB" w14:textId="77777777" w:rsidR="00B65A50" w:rsidRPr="00F041AD" w:rsidRDefault="00B65A50" w:rsidP="00D60FE1">
      <w:pPr>
        <w:pStyle w:val="5BodyText"/>
        <w:numPr>
          <w:ilvl w:val="0"/>
          <w:numId w:val="26"/>
        </w:numPr>
        <w:rPr>
          <w:color w:val="333333" w:themeColor="background1"/>
        </w:rPr>
      </w:pPr>
      <w:r w:rsidRPr="00F041AD">
        <w:rPr>
          <w:color w:val="333333" w:themeColor="background1"/>
        </w:rPr>
        <w:t xml:space="preserve">AMI can aid utilities in planning for the increasing number of </w:t>
      </w:r>
      <w:r w:rsidRPr="00F041AD">
        <w:rPr>
          <w:b/>
          <w:color w:val="333333" w:themeColor="background1"/>
        </w:rPr>
        <w:t>electric vehicles</w:t>
      </w:r>
      <w:r w:rsidRPr="00F041AD">
        <w:rPr>
          <w:color w:val="333333" w:themeColor="background1"/>
        </w:rPr>
        <w:t xml:space="preserve"> (EVs) on the grid, and may facilitate scheduling or direct control of EV charging to minimize adverse grid impacts.</w:t>
      </w:r>
    </w:p>
    <w:p w14:paraId="0FF88889" w14:textId="77777777" w:rsidR="00B65A50" w:rsidRPr="00F041AD" w:rsidRDefault="00B65A50" w:rsidP="007F6DF7">
      <w:pPr>
        <w:pStyle w:val="5BodyText"/>
        <w:rPr>
          <w:color w:val="333333" w:themeColor="background1"/>
        </w:rPr>
      </w:pPr>
    </w:p>
    <w:p w14:paraId="354EB9DE" w14:textId="65355E1F" w:rsidR="00B65A50" w:rsidRPr="00F041AD" w:rsidRDefault="00B65A50" w:rsidP="00E136AD">
      <w:pPr>
        <w:pStyle w:val="5BodyText"/>
        <w:rPr>
          <w:b/>
          <w:i/>
          <w:color w:val="333333" w:themeColor="background1"/>
        </w:rPr>
      </w:pPr>
      <w:r w:rsidRPr="00F041AD">
        <w:rPr>
          <w:b/>
          <w:i/>
          <w:color w:val="333333" w:themeColor="background1"/>
        </w:rPr>
        <w:t>Ongoing Minnesota initiatives</w:t>
      </w:r>
    </w:p>
    <w:p w14:paraId="13B224D3" w14:textId="079A153C" w:rsidR="00B65A50" w:rsidRPr="00F041AD" w:rsidRDefault="00B65A50" w:rsidP="00D60FE1">
      <w:pPr>
        <w:pStyle w:val="5BodyText"/>
        <w:numPr>
          <w:ilvl w:val="0"/>
          <w:numId w:val="27"/>
        </w:numPr>
        <w:rPr>
          <w:color w:val="333333" w:themeColor="background1"/>
        </w:rPr>
      </w:pPr>
      <w:r w:rsidRPr="00F041AD">
        <w:rPr>
          <w:color w:val="333333" w:themeColor="background1"/>
        </w:rPr>
        <w:t xml:space="preserve">The Minnesota PUC has an ongoing grid modernization proceeding (docket </w:t>
      </w:r>
      <w:hyperlink r:id="rId62" w:history="1">
        <w:r w:rsidRPr="00F041AD">
          <w:rPr>
            <w:rStyle w:val="Hyperlink"/>
            <w:color w:val="333333" w:themeColor="background1"/>
          </w:rPr>
          <w:t>15-556</w:t>
        </w:r>
      </w:hyperlink>
      <w:r w:rsidRPr="00F041AD">
        <w:rPr>
          <w:color w:val="333333" w:themeColor="background1"/>
        </w:rPr>
        <w:t>) that is considering issues around AMI deployment among other topics.</w:t>
      </w:r>
      <w:r w:rsidRPr="00F041AD">
        <w:rPr>
          <w:rStyle w:val="EndnoteReference"/>
          <w:color w:val="333333" w:themeColor="background1"/>
        </w:rPr>
        <w:endnoteReference w:id="121"/>
      </w:r>
    </w:p>
    <w:p w14:paraId="41770B9B" w14:textId="77777777" w:rsidR="00B65A50" w:rsidRPr="00F041AD" w:rsidRDefault="00B65A50" w:rsidP="000D3CE6">
      <w:pPr>
        <w:pStyle w:val="5BodyText"/>
        <w:rPr>
          <w:color w:val="333333" w:themeColor="background1"/>
        </w:rPr>
      </w:pPr>
    </w:p>
    <w:p w14:paraId="0F050FEE" w14:textId="6179DA69" w:rsidR="00B65A50" w:rsidRPr="00F041AD" w:rsidRDefault="00B65A50" w:rsidP="00E136AD">
      <w:pPr>
        <w:pStyle w:val="5BodyText"/>
        <w:rPr>
          <w:b/>
          <w:i/>
          <w:color w:val="333333" w:themeColor="background1"/>
        </w:rPr>
      </w:pPr>
      <w:r w:rsidRPr="00F041AD">
        <w:rPr>
          <w:b/>
          <w:i/>
          <w:color w:val="333333" w:themeColor="background1"/>
        </w:rPr>
        <w:t>Other related resources</w:t>
      </w:r>
    </w:p>
    <w:p w14:paraId="11B68812" w14:textId="77777777" w:rsidR="00B65A50" w:rsidRPr="00F041AD" w:rsidRDefault="00B65A50" w:rsidP="00D60FE1">
      <w:pPr>
        <w:pStyle w:val="5BodyText"/>
        <w:numPr>
          <w:ilvl w:val="0"/>
          <w:numId w:val="28"/>
        </w:numPr>
        <w:rPr>
          <w:color w:val="333333" w:themeColor="background1"/>
        </w:rPr>
      </w:pPr>
      <w:r w:rsidRPr="00F041AD">
        <w:rPr>
          <w:color w:val="333333" w:themeColor="background1"/>
        </w:rPr>
        <w:t xml:space="preserve">The US Department of Energy’s </w:t>
      </w:r>
      <w:hyperlink r:id="rId63" w:history="1">
        <w:r w:rsidRPr="00F041AD">
          <w:rPr>
            <w:rStyle w:val="Hyperlink"/>
            <w:color w:val="333333" w:themeColor="background1"/>
          </w:rPr>
          <w:t>Smart Grid portal</w:t>
        </w:r>
      </w:hyperlink>
      <w:r w:rsidRPr="00F041AD">
        <w:rPr>
          <w:rStyle w:val="Hyperlink"/>
          <w:color w:val="333333" w:themeColor="background1"/>
        </w:rPr>
        <w:t xml:space="preserve"> </w:t>
      </w:r>
      <w:r w:rsidRPr="00F041AD">
        <w:rPr>
          <w:color w:val="333333" w:themeColor="background1"/>
        </w:rPr>
        <w:t>contains information on tools and applications for AMI deployment.</w:t>
      </w:r>
      <w:r w:rsidRPr="00F041AD">
        <w:rPr>
          <w:rStyle w:val="EndnoteReference"/>
          <w:color w:val="333333" w:themeColor="background1"/>
        </w:rPr>
        <w:endnoteReference w:id="122"/>
      </w:r>
      <w:r w:rsidRPr="00F041AD">
        <w:rPr>
          <w:color w:val="333333" w:themeColor="background1"/>
        </w:rPr>
        <w:t xml:space="preserve"> </w:t>
      </w:r>
    </w:p>
    <w:p w14:paraId="228EDE5A" w14:textId="77777777" w:rsidR="00B65A50" w:rsidRPr="00F041AD" w:rsidRDefault="00B65A50" w:rsidP="00D60FE1">
      <w:pPr>
        <w:pStyle w:val="5BodyText"/>
        <w:numPr>
          <w:ilvl w:val="0"/>
          <w:numId w:val="28"/>
        </w:numPr>
        <w:rPr>
          <w:color w:val="333333" w:themeColor="background1"/>
        </w:rPr>
      </w:pPr>
      <w:r w:rsidRPr="00F041AD">
        <w:rPr>
          <w:color w:val="333333" w:themeColor="background1"/>
        </w:rPr>
        <w:t xml:space="preserve">The </w:t>
      </w:r>
      <w:hyperlink r:id="rId64" w:history="1">
        <w:r w:rsidRPr="00F041AD">
          <w:rPr>
            <w:rStyle w:val="Hyperlink"/>
            <w:color w:val="333333" w:themeColor="background1"/>
          </w:rPr>
          <w:t>Smart Grid Investment Grant program</w:t>
        </w:r>
      </w:hyperlink>
      <w:r w:rsidRPr="00F041AD">
        <w:rPr>
          <w:rStyle w:val="Hyperlink"/>
          <w:color w:val="333333" w:themeColor="background1"/>
        </w:rPr>
        <w:t xml:space="preserve"> </w:t>
      </w:r>
      <w:r w:rsidRPr="00F041AD">
        <w:rPr>
          <w:color w:val="333333" w:themeColor="background1"/>
        </w:rPr>
        <w:t>contains information on 99 smart grid projects, including AMI deployment, totaling $8 billion in investment.</w:t>
      </w:r>
      <w:r w:rsidRPr="00F041AD">
        <w:rPr>
          <w:rStyle w:val="EndnoteReference"/>
          <w:color w:val="333333" w:themeColor="background1"/>
        </w:rPr>
        <w:endnoteReference w:id="123"/>
      </w:r>
      <w:r w:rsidRPr="00F041AD">
        <w:rPr>
          <w:color w:val="333333" w:themeColor="background1"/>
        </w:rPr>
        <w:t xml:space="preserve"> </w:t>
      </w:r>
    </w:p>
    <w:p w14:paraId="5DF4E4EE" w14:textId="77777777" w:rsidR="00B65A50" w:rsidRPr="00F041AD" w:rsidRDefault="00B65A50" w:rsidP="00D60FE1">
      <w:pPr>
        <w:pStyle w:val="5BodyText"/>
        <w:numPr>
          <w:ilvl w:val="0"/>
          <w:numId w:val="28"/>
        </w:numPr>
        <w:rPr>
          <w:color w:val="333333" w:themeColor="background1"/>
        </w:rPr>
      </w:pPr>
      <w:r w:rsidRPr="00F041AD">
        <w:rPr>
          <w:color w:val="333333" w:themeColor="background1"/>
        </w:rPr>
        <w:t xml:space="preserve">The </w:t>
      </w:r>
      <w:hyperlink r:id="rId65" w:history="1">
        <w:r w:rsidRPr="00F041AD">
          <w:rPr>
            <w:rStyle w:val="Hyperlink"/>
            <w:color w:val="333333" w:themeColor="background1"/>
          </w:rPr>
          <w:t>DOE’s Consumer Behavior Studies</w:t>
        </w:r>
      </w:hyperlink>
      <w:r w:rsidRPr="00F041AD">
        <w:rPr>
          <w:rStyle w:val="Hyperlink"/>
          <w:color w:val="333333" w:themeColor="background1"/>
        </w:rPr>
        <w:t xml:space="preserve"> </w:t>
      </w:r>
      <w:r w:rsidRPr="00F041AD">
        <w:rPr>
          <w:color w:val="333333" w:themeColor="background1"/>
        </w:rPr>
        <w:t>report the outcomes from DOE-funded AMI deployment relating to peak reduction and other behavioral responses.</w:t>
      </w:r>
      <w:r w:rsidRPr="00F041AD">
        <w:rPr>
          <w:rStyle w:val="EndnoteReference"/>
          <w:color w:val="333333" w:themeColor="background1"/>
        </w:rPr>
        <w:endnoteReference w:id="124"/>
      </w:r>
      <w:r w:rsidRPr="00F041AD">
        <w:rPr>
          <w:color w:val="333333" w:themeColor="background1"/>
        </w:rPr>
        <w:t xml:space="preserve"> </w:t>
      </w:r>
    </w:p>
    <w:p w14:paraId="51414797" w14:textId="77777777" w:rsidR="00B65A50" w:rsidRPr="00F041AD" w:rsidRDefault="00B65A50" w:rsidP="00E136AD">
      <w:pPr>
        <w:pStyle w:val="5BodyText"/>
        <w:rPr>
          <w:color w:val="333333" w:themeColor="background1"/>
        </w:rPr>
      </w:pPr>
    </w:p>
    <w:p w14:paraId="283002B5" w14:textId="77777777" w:rsidR="00B65A50" w:rsidRPr="00F041AD" w:rsidRDefault="00B65A50" w:rsidP="00E136AD">
      <w:pPr>
        <w:pStyle w:val="5BodyText"/>
        <w:rPr>
          <w:color w:val="333333" w:themeColor="background1"/>
        </w:rPr>
      </w:pPr>
    </w:p>
    <w:p w14:paraId="50644EE9" w14:textId="53D89B56" w:rsidR="00B65A50" w:rsidRPr="00F041AD" w:rsidRDefault="00B65A50" w:rsidP="004C45CB">
      <w:pPr>
        <w:pStyle w:val="StrategyName"/>
      </w:pPr>
      <w:bookmarkStart w:id="164" w:name="_Toc322961633"/>
      <w:bookmarkStart w:id="165" w:name="_Toc322962038"/>
      <w:bookmarkStart w:id="166" w:name="_Toc322962225"/>
      <w:r w:rsidRPr="00F041AD">
        <w:t>B</w:t>
      </w:r>
      <w:r w:rsidR="00725676">
        <w:t>2</w:t>
      </w:r>
      <w:r w:rsidRPr="00F041AD">
        <w:t>: Enable smart inverter functionality</w:t>
      </w:r>
      <w:bookmarkEnd w:id="164"/>
      <w:bookmarkEnd w:id="165"/>
      <w:bookmarkEnd w:id="166"/>
    </w:p>
    <w:p w14:paraId="13305259" w14:textId="77777777" w:rsidR="000034E1" w:rsidRPr="00F041AD" w:rsidRDefault="000034E1" w:rsidP="000034E1">
      <w:pPr>
        <w:pStyle w:val="5BodyText"/>
        <w:rPr>
          <w:color w:val="333333" w:themeColor="background1"/>
        </w:rPr>
      </w:pPr>
    </w:p>
    <w:p w14:paraId="344E2E76" w14:textId="365930EC" w:rsidR="00B65A50" w:rsidRPr="00F041AD" w:rsidRDefault="00B65A50" w:rsidP="007B3169">
      <w:pPr>
        <w:pStyle w:val="5BodyText"/>
        <w:rPr>
          <w:b/>
          <w:i/>
          <w:color w:val="333333" w:themeColor="background1"/>
        </w:rPr>
      </w:pPr>
      <w:r w:rsidRPr="00F041AD">
        <w:rPr>
          <w:b/>
          <w:i/>
          <w:color w:val="333333" w:themeColor="background1"/>
        </w:rPr>
        <w:t>Strategy overview</w:t>
      </w:r>
    </w:p>
    <w:p w14:paraId="5077BBEB" w14:textId="77777777" w:rsidR="00B65A50" w:rsidRPr="00F041AD" w:rsidRDefault="00B65A50" w:rsidP="00773A4A">
      <w:pPr>
        <w:pStyle w:val="5BodyText"/>
        <w:rPr>
          <w:color w:val="333333" w:themeColor="background1"/>
        </w:rPr>
      </w:pPr>
      <w:r w:rsidRPr="00F041AD">
        <w:rPr>
          <w:color w:val="333333" w:themeColor="background1"/>
        </w:rPr>
        <w:lastRenderedPageBreak/>
        <w:t>Inverters convert the power produced by solar photovoltaic (PV) panels into a form that can be used both by customers’ homes, in the case of rooftop panels, as well as the broader grid. As adoption levels of distributed PV grow, standard inverters are increasingly seen as inadequate because they offer no capability for utilities to observe or influence grid conditions (e.g. voltage) at customer locations.</w:t>
      </w:r>
    </w:p>
    <w:p w14:paraId="1C7110B2" w14:textId="77777777" w:rsidR="00B65A50" w:rsidRPr="00F041AD" w:rsidRDefault="00B65A50" w:rsidP="00773A4A">
      <w:pPr>
        <w:pStyle w:val="5BodyText"/>
        <w:rPr>
          <w:color w:val="333333" w:themeColor="background1"/>
        </w:rPr>
      </w:pPr>
    </w:p>
    <w:p w14:paraId="389A4CD7" w14:textId="2CEB0F80" w:rsidR="00B65A50" w:rsidRPr="00F041AD" w:rsidRDefault="00B65A50" w:rsidP="00773A4A">
      <w:pPr>
        <w:pStyle w:val="5BodyText"/>
        <w:rPr>
          <w:color w:val="333333" w:themeColor="background1"/>
        </w:rPr>
      </w:pPr>
      <w:r w:rsidRPr="00F041AD">
        <w:rPr>
          <w:color w:val="333333" w:themeColor="background1"/>
        </w:rPr>
        <w:t>Advanced inverters, also called “smart inverters,” add the ability to respond intelligently to grid signals when necessary; for example, they have “ride through” capabilities can accommodate short-duration grid outages that would disable standard inverters. States around the country have put forth requirements for smart inverters as PV adoption grows.</w:t>
      </w:r>
      <w:r w:rsidRPr="00F041AD">
        <w:rPr>
          <w:rStyle w:val="EndnoteReference"/>
          <w:color w:val="333333" w:themeColor="background1"/>
        </w:rPr>
        <w:endnoteReference w:id="125"/>
      </w:r>
      <w:r w:rsidRPr="00F041AD">
        <w:rPr>
          <w:color w:val="333333" w:themeColor="background1"/>
        </w:rPr>
        <w:t xml:space="preserve"> Noting the benefits of smart inverters even at low PV adoption levels, and Minnesota as a state with high potential for distributed PV market growth, stakeholders identified increasing smart inverter adoption as a near-term strategy to gather data and proactively mitigate any PV integration issues.</w:t>
      </w:r>
    </w:p>
    <w:p w14:paraId="6FFDE236" w14:textId="77777777" w:rsidR="00B65A50" w:rsidRPr="00F041AD" w:rsidRDefault="00B65A50" w:rsidP="00125E05">
      <w:pPr>
        <w:pStyle w:val="5BodyText"/>
        <w:rPr>
          <w:color w:val="333333" w:themeColor="background1"/>
        </w:rPr>
      </w:pPr>
    </w:p>
    <w:p w14:paraId="5040D009" w14:textId="33CE26C5" w:rsidR="00B65A50" w:rsidRPr="00F041AD" w:rsidRDefault="00B65A50" w:rsidP="000D3CE6">
      <w:pPr>
        <w:pStyle w:val="5BodyText"/>
        <w:rPr>
          <w:b/>
          <w:i/>
          <w:color w:val="333333" w:themeColor="background1"/>
        </w:rPr>
      </w:pPr>
      <w:r w:rsidRPr="00F041AD">
        <w:rPr>
          <w:b/>
          <w:i/>
          <w:color w:val="333333" w:themeColor="background1"/>
        </w:rPr>
        <w:t>Specific actions for strategy implementation</w:t>
      </w:r>
    </w:p>
    <w:p w14:paraId="66F05CE8" w14:textId="398E675B" w:rsidR="00B65A50" w:rsidRPr="00F041AD" w:rsidRDefault="00B65A50" w:rsidP="00D60FE1">
      <w:pPr>
        <w:pStyle w:val="5BodyText"/>
        <w:numPr>
          <w:ilvl w:val="0"/>
          <w:numId w:val="30"/>
        </w:numPr>
        <w:rPr>
          <w:color w:val="333333" w:themeColor="background1"/>
        </w:rPr>
      </w:pPr>
      <w:r w:rsidRPr="00F041AD">
        <w:rPr>
          <w:b/>
          <w:color w:val="333333" w:themeColor="background1"/>
        </w:rPr>
        <w:t>Convene workgroup to evaluate pathways for smart inverters in Minnesota.</w:t>
      </w:r>
      <w:r w:rsidRPr="00F041AD">
        <w:rPr>
          <w:color w:val="333333" w:themeColor="background1"/>
        </w:rPr>
        <w:br/>
        <w:t>The workgroup can review UL and Institute of Electrical and Electronics Engineers (IEEE) progress on developing standards for advanced inverter functions and consider pathways for implementing advanced inverter functionality in Minnesota. Attendees may include representatives from utilities, the solar industry, state government, and regulators. Possible options to drive smart inverter adoption include taking steps to require smart inverters in interconnection agreements under certain conditions.</w:t>
      </w:r>
      <w:r w:rsidRPr="00F041AD">
        <w:rPr>
          <w:color w:val="333333" w:themeColor="background1"/>
        </w:rPr>
        <w:br/>
      </w:r>
      <w:r w:rsidRPr="00F041AD">
        <w:rPr>
          <w:color w:val="333333" w:themeColor="background1"/>
        </w:rPr>
        <w:br/>
      </w:r>
      <w:r w:rsidRPr="00F041AD">
        <w:rPr>
          <w:b/>
          <w:color w:val="333333" w:themeColor="background1"/>
        </w:rPr>
        <w:t xml:space="preserve">Champions/Key Participants: </w:t>
      </w:r>
      <w:r w:rsidRPr="00F041AD">
        <w:rPr>
          <w:b/>
          <w:color w:val="333333" w:themeColor="background1"/>
        </w:rPr>
        <w:br/>
      </w:r>
      <w:r w:rsidRPr="00F041AD">
        <w:rPr>
          <w:color w:val="333333" w:themeColor="background1"/>
        </w:rPr>
        <w:t>- Minnesota Department of Commerce</w:t>
      </w:r>
      <w:r w:rsidRPr="00F041AD">
        <w:rPr>
          <w:color w:val="333333" w:themeColor="background1"/>
        </w:rPr>
        <w:br/>
        <w:t xml:space="preserve">- Minnesota Public Utilities Commission </w:t>
      </w:r>
      <w:r w:rsidRPr="00F041AD">
        <w:rPr>
          <w:color w:val="333333" w:themeColor="background1"/>
        </w:rPr>
        <w:br/>
        <w:t>- Xcel Energy</w:t>
      </w:r>
      <w:r w:rsidRPr="00F041AD">
        <w:rPr>
          <w:color w:val="333333" w:themeColor="background1"/>
        </w:rPr>
        <w:br/>
        <w:t>- Great River Energy</w:t>
      </w:r>
      <w:r w:rsidRPr="00F041AD">
        <w:rPr>
          <w:color w:val="333333" w:themeColor="background1"/>
        </w:rPr>
        <w:br/>
        <w:t>- Minnesota Power</w:t>
      </w:r>
      <w:r w:rsidRPr="00F041AD">
        <w:rPr>
          <w:color w:val="333333" w:themeColor="background1"/>
        </w:rPr>
        <w:br/>
        <w:t>- Minnesota Solar Energy Industry Association</w:t>
      </w:r>
      <w:r w:rsidRPr="00F041AD">
        <w:rPr>
          <w:color w:val="333333" w:themeColor="background1"/>
        </w:rPr>
        <w:br/>
        <w:t>- Solar PV developers</w:t>
      </w:r>
      <w:r w:rsidRPr="00F041AD">
        <w:rPr>
          <w:color w:val="333333" w:themeColor="background1"/>
        </w:rPr>
        <w:br/>
      </w:r>
    </w:p>
    <w:p w14:paraId="6FA131C9" w14:textId="77777777" w:rsidR="00B65A50" w:rsidRPr="00F041AD" w:rsidRDefault="00B65A50" w:rsidP="00D60FE1">
      <w:pPr>
        <w:pStyle w:val="5BodyText"/>
        <w:numPr>
          <w:ilvl w:val="0"/>
          <w:numId w:val="30"/>
        </w:numPr>
        <w:rPr>
          <w:color w:val="333333" w:themeColor="background1"/>
        </w:rPr>
      </w:pPr>
      <w:r w:rsidRPr="00F041AD">
        <w:rPr>
          <w:b/>
          <w:color w:val="333333" w:themeColor="background1"/>
        </w:rPr>
        <w:t>Pilot smart inverter functionality.</w:t>
      </w:r>
      <w:r w:rsidRPr="00F041AD">
        <w:rPr>
          <w:color w:val="333333" w:themeColor="background1"/>
        </w:rPr>
        <w:br/>
        <w:t>Although the capabilities of smart inverters are well understood, given the extensive experience in other states, it is still necessary for grid operators to gain comfort with using them in an operational context. Utilities can test the value of smart inverters in combination with other demand and supply-side DERs, e.g. demand response. Distribution feeders with near-term avoided cost potential from smart inverters could be prioritized for deployment.</w:t>
      </w:r>
      <w:r w:rsidRPr="00F041AD">
        <w:rPr>
          <w:color w:val="333333" w:themeColor="background1"/>
        </w:rPr>
        <w:br/>
      </w:r>
      <w:r w:rsidRPr="00F041AD">
        <w:rPr>
          <w:color w:val="333333" w:themeColor="background1"/>
        </w:rPr>
        <w:lastRenderedPageBreak/>
        <w:br/>
      </w:r>
      <w:r w:rsidRPr="00F041AD">
        <w:rPr>
          <w:b/>
          <w:color w:val="333333" w:themeColor="background1"/>
        </w:rPr>
        <w:t>Champions/Key Participants:</w:t>
      </w:r>
      <w:r w:rsidRPr="00F041AD">
        <w:rPr>
          <w:b/>
          <w:color w:val="333333" w:themeColor="background1"/>
        </w:rPr>
        <w:br/>
        <w:t xml:space="preserve">- </w:t>
      </w:r>
      <w:r w:rsidRPr="00F041AD">
        <w:rPr>
          <w:color w:val="333333" w:themeColor="background1"/>
        </w:rPr>
        <w:t xml:space="preserve">Xcel Energy is piloting smart inverter functionality in </w:t>
      </w:r>
      <w:hyperlink r:id="rId66" w:history="1">
        <w:r w:rsidRPr="00F041AD">
          <w:rPr>
            <w:rStyle w:val="Hyperlink"/>
            <w:color w:val="333333" w:themeColor="background1"/>
            <w:u w:val="none"/>
          </w:rPr>
          <w:t>Minnesota</w:t>
        </w:r>
      </w:hyperlink>
      <w:r w:rsidRPr="00F041AD">
        <w:rPr>
          <w:color w:val="333333" w:themeColor="background1"/>
        </w:rPr>
        <w:t xml:space="preserve"> and </w:t>
      </w:r>
      <w:hyperlink r:id="rId67" w:history="1">
        <w:r w:rsidRPr="00F041AD">
          <w:rPr>
            <w:rStyle w:val="Hyperlink"/>
            <w:color w:val="333333" w:themeColor="background1"/>
            <w:u w:val="none"/>
          </w:rPr>
          <w:t>Colorado</w:t>
        </w:r>
      </w:hyperlink>
      <w:r w:rsidRPr="00F041AD">
        <w:rPr>
          <w:color w:val="333333" w:themeColor="background1"/>
        </w:rPr>
        <w:t>.</w:t>
      </w:r>
      <w:r w:rsidRPr="00F041AD">
        <w:rPr>
          <w:color w:val="333333" w:themeColor="background1"/>
        </w:rPr>
        <w:br/>
        <w:t xml:space="preserve">- Great River Energy is </w:t>
      </w:r>
      <w:hyperlink r:id="rId68" w:history="1">
        <w:r w:rsidRPr="00F041AD">
          <w:rPr>
            <w:rStyle w:val="Hyperlink"/>
            <w:color w:val="333333" w:themeColor="background1"/>
            <w:u w:val="none"/>
          </w:rPr>
          <w:t>exploring opportunities</w:t>
        </w:r>
      </w:hyperlink>
      <w:r w:rsidRPr="00F041AD">
        <w:rPr>
          <w:color w:val="333333" w:themeColor="background1"/>
        </w:rPr>
        <w:t xml:space="preserve"> to further its understanding and involvement with distributed generation technologies, including </w:t>
      </w:r>
      <w:hyperlink r:id="rId69" w:history="1">
        <w:r w:rsidRPr="00F041AD">
          <w:rPr>
            <w:rStyle w:val="Hyperlink"/>
            <w:color w:val="333333" w:themeColor="background1"/>
            <w:u w:val="none"/>
          </w:rPr>
          <w:t>smart inverters</w:t>
        </w:r>
      </w:hyperlink>
      <w:r w:rsidRPr="00F041AD">
        <w:rPr>
          <w:color w:val="333333" w:themeColor="background1"/>
        </w:rPr>
        <w:t>.</w:t>
      </w:r>
      <w:r w:rsidRPr="00F041AD">
        <w:rPr>
          <w:color w:val="333333" w:themeColor="background1"/>
        </w:rPr>
        <w:br/>
        <w:t>- Minnesota Power is currently looking at the relationship of production metering, net metering, and inverter functionality to evaluate the necessary and prudent investments in this space.</w:t>
      </w:r>
      <w:r w:rsidRPr="00F041AD">
        <w:rPr>
          <w:color w:val="333333" w:themeColor="background1"/>
        </w:rPr>
        <w:br/>
        <w:t>- CEE provides analysis, engagement and education on opportunities and value proposition to end-users and utilities.</w:t>
      </w:r>
      <w:r w:rsidRPr="00F041AD">
        <w:rPr>
          <w:color w:val="333333" w:themeColor="background1"/>
        </w:rPr>
        <w:br/>
      </w:r>
      <w:r w:rsidRPr="00F041AD" w:rsidDel="008B78BB">
        <w:rPr>
          <w:color w:val="333333" w:themeColor="background1"/>
          <w:highlight w:val="yellow"/>
        </w:rPr>
        <w:t xml:space="preserve"> </w:t>
      </w:r>
      <w:r w:rsidRPr="00F041AD">
        <w:rPr>
          <w:color w:val="333333" w:themeColor="background1"/>
        </w:rPr>
        <w:t xml:space="preserve"> </w:t>
      </w:r>
    </w:p>
    <w:p w14:paraId="121F662F" w14:textId="77777777" w:rsidR="00B65A50" w:rsidRPr="00F041AD" w:rsidRDefault="00B65A50" w:rsidP="00AC78F5">
      <w:pPr>
        <w:pStyle w:val="5BodyText"/>
        <w:rPr>
          <w:b/>
          <w:i/>
          <w:color w:val="333333" w:themeColor="background1"/>
        </w:rPr>
      </w:pPr>
      <w:r w:rsidRPr="00F041AD">
        <w:rPr>
          <w:b/>
          <w:i/>
          <w:color w:val="333333" w:themeColor="background1"/>
        </w:rPr>
        <w:t>Success factors</w:t>
      </w:r>
    </w:p>
    <w:p w14:paraId="64069CEB" w14:textId="77777777" w:rsidR="00B65A50" w:rsidRPr="00F041AD" w:rsidRDefault="00B65A50" w:rsidP="00D60FE1">
      <w:pPr>
        <w:pStyle w:val="5BodyText"/>
        <w:numPr>
          <w:ilvl w:val="0"/>
          <w:numId w:val="31"/>
        </w:numPr>
        <w:rPr>
          <w:b/>
          <w:color w:val="333333" w:themeColor="background1"/>
        </w:rPr>
      </w:pPr>
      <w:r w:rsidRPr="00F041AD">
        <w:rPr>
          <w:b/>
          <w:color w:val="333333" w:themeColor="background1"/>
        </w:rPr>
        <w:t xml:space="preserve">Lessons learned from other states’ smart inverter rollouts are used to inform Minnesota’s process. </w:t>
      </w:r>
      <w:r w:rsidRPr="00F041AD">
        <w:rPr>
          <w:color w:val="333333" w:themeColor="background1"/>
        </w:rPr>
        <w:t xml:space="preserve">The process of driving adoption of smart inverters in other states, e.g. California, and the development of IEEE 1547 standards are of particular relevance to Minnesota. </w:t>
      </w:r>
      <w:r w:rsidRPr="00F041AD">
        <w:rPr>
          <w:color w:val="333333" w:themeColor="background1"/>
        </w:rPr>
        <w:br/>
      </w:r>
    </w:p>
    <w:p w14:paraId="6CBEBF61" w14:textId="77777777" w:rsidR="00B65A50" w:rsidRPr="00F041AD" w:rsidRDefault="00B65A50" w:rsidP="00D60FE1">
      <w:pPr>
        <w:pStyle w:val="5BodyText"/>
        <w:numPr>
          <w:ilvl w:val="0"/>
          <w:numId w:val="31"/>
        </w:numPr>
        <w:rPr>
          <w:color w:val="333333" w:themeColor="background1"/>
        </w:rPr>
      </w:pPr>
      <w:r w:rsidRPr="00F041AD">
        <w:rPr>
          <w:b/>
          <w:color w:val="333333" w:themeColor="background1"/>
        </w:rPr>
        <w:t xml:space="preserve">Standards or requirements provide a consistent signal for utilities and/or installers to choose and install technologies. </w:t>
      </w:r>
      <w:r w:rsidRPr="00F041AD">
        <w:rPr>
          <w:color w:val="333333" w:themeColor="background1"/>
        </w:rPr>
        <w:t>A disjointed or inconsistent set of standards would slow growth of both solar PV and smart inverter functionality.</w:t>
      </w:r>
      <w:r w:rsidRPr="00F041AD">
        <w:rPr>
          <w:color w:val="333333" w:themeColor="background1"/>
        </w:rPr>
        <w:br/>
      </w:r>
    </w:p>
    <w:p w14:paraId="6CC0EE89" w14:textId="77777777" w:rsidR="00B65A50" w:rsidRPr="00F041AD" w:rsidRDefault="00B65A50" w:rsidP="00D60FE1">
      <w:pPr>
        <w:pStyle w:val="5BodyText"/>
        <w:numPr>
          <w:ilvl w:val="0"/>
          <w:numId w:val="31"/>
        </w:numPr>
        <w:rPr>
          <w:color w:val="333333" w:themeColor="background1"/>
        </w:rPr>
      </w:pPr>
      <w:r w:rsidRPr="00F041AD">
        <w:rPr>
          <w:b/>
          <w:color w:val="333333" w:themeColor="background1"/>
        </w:rPr>
        <w:t>Cost-based objections to smart inverters are mitigated.</w:t>
      </w:r>
      <w:r w:rsidRPr="00F041AD">
        <w:rPr>
          <w:color w:val="333333" w:themeColor="background1"/>
        </w:rPr>
        <w:t xml:space="preserve"> Stakeholders are aligned on the cost-benefit analysis of smart inverters, including the potential long-run value of smart inverters and the low incremental cost of including smart inverters at time of system installation.</w:t>
      </w:r>
    </w:p>
    <w:p w14:paraId="14844E93" w14:textId="77777777" w:rsidR="00B65A50" w:rsidRPr="00F041AD" w:rsidRDefault="00B65A50" w:rsidP="00AC78F5">
      <w:pPr>
        <w:pStyle w:val="5BodyText"/>
        <w:rPr>
          <w:color w:val="333333" w:themeColor="background1"/>
        </w:rPr>
      </w:pPr>
    </w:p>
    <w:p w14:paraId="222F5204" w14:textId="61E0E1E0" w:rsidR="00B65A50" w:rsidRPr="00F041AD" w:rsidRDefault="00B65A50" w:rsidP="00AC78F5">
      <w:pPr>
        <w:pStyle w:val="5BodyText"/>
        <w:rPr>
          <w:b/>
          <w:i/>
          <w:color w:val="333333" w:themeColor="background1"/>
        </w:rPr>
      </w:pPr>
      <w:r w:rsidRPr="00F041AD">
        <w:rPr>
          <w:b/>
          <w:i/>
          <w:color w:val="333333" w:themeColor="background1"/>
        </w:rPr>
        <w:t>Indicators of strategy success</w:t>
      </w:r>
    </w:p>
    <w:p w14:paraId="4AB928AD" w14:textId="66DF1235" w:rsidR="00B65A50" w:rsidRPr="00F041AD" w:rsidRDefault="00B65A50" w:rsidP="00D60FE1">
      <w:pPr>
        <w:pStyle w:val="5BodyText"/>
        <w:numPr>
          <w:ilvl w:val="0"/>
          <w:numId w:val="32"/>
        </w:numPr>
        <w:rPr>
          <w:color w:val="333333" w:themeColor="background1"/>
        </w:rPr>
      </w:pPr>
      <w:r w:rsidRPr="00F041AD">
        <w:rPr>
          <w:color w:val="333333" w:themeColor="background1"/>
        </w:rPr>
        <w:t>Smart inverter adoption (number of inverters, percent rollout), statewide and per-utility for new systems meeting certain criteria</w:t>
      </w:r>
    </w:p>
    <w:p w14:paraId="3C5A567B" w14:textId="2480CB2B" w:rsidR="00B65A50" w:rsidRPr="00F041AD" w:rsidRDefault="00B65A50" w:rsidP="00D60FE1">
      <w:pPr>
        <w:pStyle w:val="5BodyText"/>
        <w:numPr>
          <w:ilvl w:val="0"/>
          <w:numId w:val="32"/>
        </w:numPr>
        <w:rPr>
          <w:color w:val="333333" w:themeColor="background1"/>
        </w:rPr>
      </w:pPr>
      <w:r w:rsidRPr="00F041AD">
        <w:rPr>
          <w:color w:val="333333" w:themeColor="background1"/>
        </w:rPr>
        <w:t>Reported benefits from programs that leverage smart inverters in $ saved, statewide and per utility</w:t>
      </w:r>
    </w:p>
    <w:p w14:paraId="70B47A28" w14:textId="77777777" w:rsidR="00B65A50" w:rsidRPr="00F041AD" w:rsidRDefault="00B65A50" w:rsidP="00D60FE1">
      <w:pPr>
        <w:pStyle w:val="5BodyText"/>
        <w:numPr>
          <w:ilvl w:val="0"/>
          <w:numId w:val="32"/>
        </w:numPr>
        <w:rPr>
          <w:color w:val="333333" w:themeColor="background1"/>
        </w:rPr>
      </w:pPr>
      <w:r w:rsidRPr="00F041AD">
        <w:rPr>
          <w:color w:val="333333" w:themeColor="background1"/>
        </w:rPr>
        <w:t>Utility-reported hosting capacity (i.e. the capacity of PV that can be accommodated on a feeder or on the system) increases due to smart inverter adoption.</w:t>
      </w:r>
    </w:p>
    <w:p w14:paraId="0C6A3787" w14:textId="77777777" w:rsidR="00B65A50" w:rsidRPr="00F041AD" w:rsidRDefault="00B65A50" w:rsidP="00AC78F5">
      <w:pPr>
        <w:pStyle w:val="5BodyText"/>
        <w:rPr>
          <w:color w:val="333333" w:themeColor="background1"/>
        </w:rPr>
      </w:pPr>
    </w:p>
    <w:p w14:paraId="6366F0DA" w14:textId="3E4E6135" w:rsidR="00B65A50" w:rsidRPr="00F041AD" w:rsidRDefault="00B65A50" w:rsidP="00AC78F5">
      <w:pPr>
        <w:pStyle w:val="5BodyText"/>
        <w:rPr>
          <w:b/>
          <w:i/>
          <w:color w:val="333333" w:themeColor="background1"/>
        </w:rPr>
      </w:pPr>
      <w:r w:rsidRPr="00F041AD">
        <w:rPr>
          <w:b/>
          <w:i/>
          <w:color w:val="333333" w:themeColor="background1"/>
        </w:rPr>
        <w:t>Cross-sector opportunities and synergies</w:t>
      </w:r>
    </w:p>
    <w:p w14:paraId="3A921FB1" w14:textId="188E64B1" w:rsidR="00B65A50" w:rsidRPr="00F041AD" w:rsidRDefault="00B65A50" w:rsidP="00D60FE1">
      <w:pPr>
        <w:pStyle w:val="5BodyText"/>
        <w:numPr>
          <w:ilvl w:val="0"/>
          <w:numId w:val="33"/>
        </w:numPr>
        <w:rPr>
          <w:color w:val="333333" w:themeColor="background1"/>
        </w:rPr>
      </w:pPr>
      <w:r w:rsidRPr="00F041AD">
        <w:rPr>
          <w:color w:val="333333" w:themeColor="background1"/>
        </w:rPr>
        <w:t xml:space="preserve">Inverters have been integrated into customer-side energy management systems to allow building-level energy monitoring and facilitate energy efficiency through </w:t>
      </w:r>
      <w:r w:rsidRPr="00F041AD">
        <w:rPr>
          <w:b/>
          <w:color w:val="333333" w:themeColor="background1"/>
        </w:rPr>
        <w:t>improved building performance,</w:t>
      </w:r>
      <w:r w:rsidRPr="00F041AD">
        <w:rPr>
          <w:color w:val="333333" w:themeColor="background1"/>
        </w:rPr>
        <w:t xml:space="preserve"> as well as allow for </w:t>
      </w:r>
      <w:r w:rsidRPr="00F041AD">
        <w:rPr>
          <w:b/>
          <w:color w:val="333333" w:themeColor="background1"/>
        </w:rPr>
        <w:t xml:space="preserve">demand response </w:t>
      </w:r>
      <w:r w:rsidRPr="00F041AD">
        <w:rPr>
          <w:color w:val="333333" w:themeColor="background1"/>
        </w:rPr>
        <w:t>opportunities.</w:t>
      </w:r>
    </w:p>
    <w:p w14:paraId="5400D092" w14:textId="77777777" w:rsidR="00B65A50" w:rsidRPr="00F041AD" w:rsidRDefault="00B65A50" w:rsidP="00AC78F5">
      <w:pPr>
        <w:pStyle w:val="5BodyText"/>
        <w:rPr>
          <w:b/>
          <w:i/>
          <w:color w:val="333333" w:themeColor="background1"/>
        </w:rPr>
      </w:pPr>
    </w:p>
    <w:p w14:paraId="29B9A35C" w14:textId="77777777" w:rsidR="00B65A50" w:rsidRPr="00F041AD" w:rsidRDefault="00B65A50" w:rsidP="00AC78F5">
      <w:pPr>
        <w:pStyle w:val="5BodyText"/>
        <w:rPr>
          <w:b/>
          <w:i/>
          <w:color w:val="333333" w:themeColor="background1"/>
        </w:rPr>
      </w:pPr>
      <w:r w:rsidRPr="00F041AD">
        <w:rPr>
          <w:b/>
          <w:i/>
          <w:color w:val="333333" w:themeColor="background1"/>
        </w:rPr>
        <w:t>Ongoing Minnesota initiatives</w:t>
      </w:r>
    </w:p>
    <w:p w14:paraId="59CEE831" w14:textId="77777777" w:rsidR="00B65A50" w:rsidRPr="00F041AD" w:rsidRDefault="00B65A50" w:rsidP="00D60FE1">
      <w:pPr>
        <w:pStyle w:val="5BodyText"/>
        <w:numPr>
          <w:ilvl w:val="0"/>
          <w:numId w:val="34"/>
        </w:numPr>
        <w:rPr>
          <w:color w:val="333333" w:themeColor="background1"/>
        </w:rPr>
      </w:pPr>
      <w:r w:rsidRPr="00F041AD">
        <w:rPr>
          <w:color w:val="333333" w:themeColor="background1"/>
        </w:rPr>
        <w:lastRenderedPageBreak/>
        <w:t xml:space="preserve">The Minnesota Public Utilities Commission has an ongoing grid modernization proceeding (docket </w:t>
      </w:r>
      <w:hyperlink r:id="rId70" w:history="1">
        <w:r w:rsidRPr="00F041AD">
          <w:rPr>
            <w:rStyle w:val="Hyperlink"/>
            <w:color w:val="333333" w:themeColor="background1"/>
          </w:rPr>
          <w:t>15-556</w:t>
        </w:r>
      </w:hyperlink>
      <w:r w:rsidRPr="00F041AD">
        <w:rPr>
          <w:color w:val="333333" w:themeColor="background1"/>
        </w:rPr>
        <w:t>) that is considering issues around smart inverter deployment among other topics.</w:t>
      </w:r>
    </w:p>
    <w:p w14:paraId="242AC278" w14:textId="77777777" w:rsidR="00B65A50" w:rsidRPr="00F041AD" w:rsidRDefault="00B65A50" w:rsidP="007E417D">
      <w:pPr>
        <w:pStyle w:val="5BodyText"/>
        <w:rPr>
          <w:color w:val="333333" w:themeColor="background1"/>
        </w:rPr>
      </w:pPr>
    </w:p>
    <w:p w14:paraId="39ECB2D7" w14:textId="72D7422C" w:rsidR="00B65A50" w:rsidRPr="00F041AD" w:rsidRDefault="00B65A50" w:rsidP="007E417D">
      <w:pPr>
        <w:pStyle w:val="5BodyText"/>
        <w:rPr>
          <w:b/>
          <w:i/>
          <w:color w:val="333333" w:themeColor="background1"/>
        </w:rPr>
      </w:pPr>
      <w:r w:rsidRPr="00F041AD">
        <w:rPr>
          <w:b/>
          <w:i/>
          <w:color w:val="333333" w:themeColor="background1"/>
        </w:rPr>
        <w:t>Other related resources</w:t>
      </w:r>
    </w:p>
    <w:p w14:paraId="2C34A791" w14:textId="77777777" w:rsidR="00B65A50" w:rsidRPr="00F041AD" w:rsidRDefault="00B65A50" w:rsidP="00D60FE1">
      <w:pPr>
        <w:pStyle w:val="5BodyText"/>
        <w:numPr>
          <w:ilvl w:val="0"/>
          <w:numId w:val="35"/>
        </w:numPr>
        <w:rPr>
          <w:color w:val="333333" w:themeColor="background1"/>
        </w:rPr>
      </w:pPr>
      <w:r w:rsidRPr="00F041AD">
        <w:rPr>
          <w:color w:val="333333" w:themeColor="background1"/>
        </w:rPr>
        <w:t>Electric Power Research Institute &amp; Solar Electric Power Association. “Rolling Out Smart Inverters,” 2015</w:t>
      </w:r>
      <w:r w:rsidRPr="00F041AD">
        <w:rPr>
          <w:rStyle w:val="EndnoteReference"/>
          <w:color w:val="333333" w:themeColor="background1"/>
        </w:rPr>
        <w:endnoteReference w:id="126"/>
      </w:r>
      <w:r w:rsidRPr="00F041AD">
        <w:rPr>
          <w:color w:val="333333" w:themeColor="background1"/>
        </w:rPr>
        <w:t>. This paper highlights lessons learned from leading utilities and states in rolling out large-scale adoption of smart inverters.</w:t>
      </w:r>
    </w:p>
    <w:p w14:paraId="7B0D42BC" w14:textId="1D7224B3" w:rsidR="00B65A50" w:rsidRPr="00F041AD" w:rsidRDefault="00B65A50" w:rsidP="00D60FE1">
      <w:pPr>
        <w:pStyle w:val="5BodyText"/>
        <w:numPr>
          <w:ilvl w:val="0"/>
          <w:numId w:val="35"/>
        </w:numPr>
        <w:rPr>
          <w:color w:val="333333" w:themeColor="background1"/>
        </w:rPr>
      </w:pPr>
      <w:r w:rsidRPr="00F041AD">
        <w:rPr>
          <w:color w:val="333333" w:themeColor="background1"/>
        </w:rPr>
        <w:t>The National Renewable Energy Lab and the Solar Electric Power Association published a paper in 2015 with industry perspectives on advanced inverters in the US.</w:t>
      </w:r>
      <w:r w:rsidRPr="00F041AD">
        <w:rPr>
          <w:rStyle w:val="EndnoteReference"/>
          <w:color w:val="333333" w:themeColor="background1"/>
        </w:rPr>
        <w:endnoteReference w:id="127"/>
      </w:r>
    </w:p>
    <w:p w14:paraId="46C61710" w14:textId="77777777" w:rsidR="00B65A50" w:rsidRPr="00F041AD" w:rsidRDefault="00B65A50" w:rsidP="00D60FE1">
      <w:pPr>
        <w:pStyle w:val="5BodyText"/>
        <w:rPr>
          <w:color w:val="333333" w:themeColor="background1"/>
        </w:rPr>
      </w:pPr>
    </w:p>
    <w:p w14:paraId="33DA9FE8" w14:textId="2C98F50A" w:rsidR="00B65A50" w:rsidRPr="00F041AD" w:rsidRDefault="00725676" w:rsidP="004C45CB">
      <w:pPr>
        <w:pStyle w:val="StrategyName"/>
      </w:pPr>
      <w:bookmarkStart w:id="167" w:name="_Toc322961634"/>
      <w:bookmarkStart w:id="168" w:name="_Toc322962039"/>
      <w:bookmarkStart w:id="169" w:name="_Toc322962226"/>
      <w:r>
        <w:t>B3</w:t>
      </w:r>
      <w:r w:rsidR="00B65A50" w:rsidRPr="00F041AD">
        <w:t>: Integrate energy storage and demand response</w:t>
      </w:r>
      <w:bookmarkEnd w:id="167"/>
      <w:bookmarkEnd w:id="168"/>
      <w:bookmarkEnd w:id="169"/>
    </w:p>
    <w:p w14:paraId="3FD3D3CF" w14:textId="18EE1CA4" w:rsidR="000034E1" w:rsidRPr="00F041AD" w:rsidRDefault="000034E1" w:rsidP="000034E1">
      <w:pPr>
        <w:pStyle w:val="5BodyText"/>
        <w:rPr>
          <w:color w:val="333333" w:themeColor="background1"/>
        </w:rPr>
      </w:pPr>
    </w:p>
    <w:p w14:paraId="0868A182" w14:textId="01CD79E0" w:rsidR="00B65A50" w:rsidRPr="00F041AD" w:rsidRDefault="00F35183" w:rsidP="007B3169">
      <w:pPr>
        <w:pStyle w:val="5BodyText"/>
        <w:rPr>
          <w:b/>
          <w:i/>
          <w:color w:val="333333" w:themeColor="background1"/>
        </w:rPr>
      </w:pPr>
      <w:r>
        <w:rPr>
          <w:b/>
          <w:i/>
          <w:noProof/>
          <w:color w:val="333333" w:themeColor="background1"/>
          <w:lang w:eastAsia="en-US"/>
        </w:rPr>
        <mc:AlternateContent>
          <mc:Choice Requires="wps">
            <w:drawing>
              <wp:anchor distT="0" distB="0" distL="114300" distR="114300" simplePos="0" relativeHeight="251707392" behindDoc="0" locked="0" layoutInCell="1" allowOverlap="1" wp14:anchorId="0C10670C" wp14:editId="28E15352">
                <wp:simplePos x="0" y="0"/>
                <wp:positionH relativeFrom="column">
                  <wp:posOffset>3822065</wp:posOffset>
                </wp:positionH>
                <wp:positionV relativeFrom="paragraph">
                  <wp:posOffset>151765</wp:posOffset>
                </wp:positionV>
                <wp:extent cx="2400300" cy="4380865"/>
                <wp:effectExtent l="0" t="0" r="19050" b="19685"/>
                <wp:wrapSquare wrapText="bothSides"/>
                <wp:docPr id="25" name="Text Box 25"/>
                <wp:cNvGraphicFramePr/>
                <a:graphic xmlns:a="http://schemas.openxmlformats.org/drawingml/2006/main">
                  <a:graphicData uri="http://schemas.microsoft.com/office/word/2010/wordprocessingShape">
                    <wps:wsp>
                      <wps:cNvSpPr txBox="1"/>
                      <wps:spPr>
                        <a:xfrm>
                          <a:off x="0" y="0"/>
                          <a:ext cx="2400300" cy="4380865"/>
                        </a:xfrm>
                        <a:prstGeom prst="rect">
                          <a:avLst/>
                        </a:prstGeom>
                        <a:noFill/>
                        <a:ln>
                          <a:solidFill>
                            <a:srgbClr val="004B6B"/>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B98545" w14:textId="2F0C6723" w:rsidR="006506BB" w:rsidRPr="00F35183" w:rsidRDefault="006506BB" w:rsidP="00D45A7C">
                            <w:pPr>
                              <w:pStyle w:val="CommentText"/>
                              <w:rPr>
                                <w:rFonts w:asciiTheme="majorHAnsi" w:hAnsiTheme="majorHAnsi"/>
                                <w:b/>
                                <w:sz w:val="20"/>
                                <w:szCs w:val="20"/>
                              </w:rPr>
                            </w:pPr>
                            <w:r w:rsidRPr="00F35183">
                              <w:rPr>
                                <w:rFonts w:asciiTheme="majorHAnsi" w:hAnsiTheme="majorHAnsi"/>
                                <w:b/>
                                <w:sz w:val="20"/>
                                <w:szCs w:val="20"/>
                              </w:rPr>
                              <w:t>Selected types of energy storage:</w:t>
                            </w:r>
                          </w:p>
                          <w:p w14:paraId="473A9B15" w14:textId="77777777" w:rsidR="006506BB" w:rsidRPr="00F35183" w:rsidRDefault="006506BB" w:rsidP="00D45A7C">
                            <w:pPr>
                              <w:pStyle w:val="CommentText"/>
                              <w:rPr>
                                <w:rFonts w:asciiTheme="majorHAnsi" w:hAnsiTheme="majorHAnsi"/>
                                <w:sz w:val="20"/>
                                <w:szCs w:val="20"/>
                              </w:rPr>
                            </w:pPr>
                          </w:p>
                          <w:p w14:paraId="2E5C4793" w14:textId="77777777" w:rsidR="006506BB" w:rsidRPr="00F35183" w:rsidRDefault="006506BB" w:rsidP="00D45A7C">
                            <w:pPr>
                              <w:pStyle w:val="CommentText"/>
                              <w:rPr>
                                <w:rFonts w:asciiTheme="majorHAnsi" w:hAnsiTheme="majorHAnsi"/>
                                <w:sz w:val="20"/>
                                <w:szCs w:val="20"/>
                              </w:rPr>
                            </w:pPr>
                            <w:r w:rsidRPr="00F35183">
                              <w:rPr>
                                <w:rFonts w:asciiTheme="majorHAnsi" w:hAnsiTheme="majorHAnsi"/>
                                <w:sz w:val="20"/>
                                <w:szCs w:val="20"/>
                                <w:u w:val="single"/>
                              </w:rPr>
                              <w:t>Batteries</w:t>
                            </w:r>
                            <w:r w:rsidRPr="00F35183">
                              <w:rPr>
                                <w:rFonts w:asciiTheme="majorHAnsi" w:hAnsiTheme="majorHAnsi"/>
                                <w:sz w:val="20"/>
                                <w:szCs w:val="20"/>
                              </w:rPr>
                              <w:t xml:space="preserve"> store energy chemically to directly provide electricity when discharging</w:t>
                            </w:r>
                          </w:p>
                          <w:p w14:paraId="2532AF2A" w14:textId="77777777" w:rsidR="006506BB" w:rsidRPr="00F35183" w:rsidRDefault="006506BB" w:rsidP="00D45A7C">
                            <w:pPr>
                              <w:pStyle w:val="CommentText"/>
                              <w:rPr>
                                <w:rFonts w:asciiTheme="majorHAnsi" w:hAnsiTheme="majorHAnsi"/>
                                <w:sz w:val="20"/>
                                <w:szCs w:val="20"/>
                              </w:rPr>
                            </w:pPr>
                          </w:p>
                          <w:p w14:paraId="2476B327" w14:textId="77777777" w:rsidR="006506BB" w:rsidRPr="00F35183" w:rsidRDefault="006506BB" w:rsidP="00D45A7C">
                            <w:pPr>
                              <w:pStyle w:val="CommentText"/>
                              <w:rPr>
                                <w:rFonts w:asciiTheme="majorHAnsi" w:hAnsiTheme="majorHAnsi"/>
                                <w:sz w:val="20"/>
                                <w:szCs w:val="20"/>
                              </w:rPr>
                            </w:pPr>
                            <w:r w:rsidRPr="00F35183">
                              <w:rPr>
                                <w:rFonts w:asciiTheme="majorHAnsi" w:hAnsiTheme="majorHAnsi"/>
                                <w:sz w:val="20"/>
                                <w:szCs w:val="20"/>
                                <w:u w:val="single"/>
                              </w:rPr>
                              <w:t>Thermal storage systems</w:t>
                            </w:r>
                            <w:r w:rsidRPr="00F35183">
                              <w:rPr>
                                <w:rFonts w:asciiTheme="majorHAnsi" w:hAnsiTheme="majorHAnsi"/>
                                <w:sz w:val="20"/>
                                <w:szCs w:val="20"/>
                              </w:rPr>
                              <w:t xml:space="preserve"> store thermal energy in order to shift the timing of electricity use from one time to another.</w:t>
                            </w:r>
                          </w:p>
                          <w:p w14:paraId="78C3B149" w14:textId="77777777" w:rsidR="006506BB" w:rsidRPr="00F35183" w:rsidRDefault="006506BB" w:rsidP="00D45A7C">
                            <w:pPr>
                              <w:pStyle w:val="CommentText"/>
                              <w:rPr>
                                <w:rFonts w:asciiTheme="majorHAnsi" w:hAnsiTheme="majorHAnsi"/>
                                <w:sz w:val="20"/>
                                <w:szCs w:val="20"/>
                              </w:rPr>
                            </w:pPr>
                          </w:p>
                          <w:p w14:paraId="067540B9" w14:textId="77777777" w:rsidR="006506BB" w:rsidRPr="00F35183" w:rsidRDefault="006506BB" w:rsidP="00D45A7C">
                            <w:pPr>
                              <w:pStyle w:val="CommentText"/>
                              <w:rPr>
                                <w:rFonts w:asciiTheme="majorHAnsi" w:hAnsiTheme="majorHAnsi"/>
                                <w:sz w:val="20"/>
                                <w:szCs w:val="20"/>
                              </w:rPr>
                            </w:pPr>
                            <w:r w:rsidRPr="00F35183">
                              <w:rPr>
                                <w:rFonts w:asciiTheme="majorHAnsi" w:hAnsiTheme="majorHAnsi"/>
                                <w:sz w:val="20"/>
                                <w:szCs w:val="20"/>
                                <w:u w:val="single"/>
                              </w:rPr>
                              <w:t>Pumped hydro</w:t>
                            </w:r>
                            <w:r w:rsidRPr="00F35183">
                              <w:rPr>
                                <w:rFonts w:asciiTheme="majorHAnsi" w:hAnsiTheme="majorHAnsi"/>
                                <w:sz w:val="20"/>
                                <w:szCs w:val="20"/>
                              </w:rPr>
                              <w:t xml:space="preserve"> facilities store energy by pumping water uphill, then generating electricity later by letting it pass through turbines as it falls.</w:t>
                            </w:r>
                          </w:p>
                          <w:p w14:paraId="5B40AEC8" w14:textId="77777777" w:rsidR="006506BB" w:rsidRPr="00F35183" w:rsidRDefault="006506BB" w:rsidP="00D45A7C">
                            <w:pPr>
                              <w:pStyle w:val="CommentText"/>
                              <w:rPr>
                                <w:rFonts w:asciiTheme="majorHAnsi" w:hAnsiTheme="majorHAnsi"/>
                                <w:sz w:val="20"/>
                                <w:szCs w:val="20"/>
                              </w:rPr>
                            </w:pPr>
                          </w:p>
                          <w:p w14:paraId="6834DC8F" w14:textId="2E3437D5" w:rsidR="006506BB" w:rsidRPr="00F35183" w:rsidRDefault="006506BB" w:rsidP="00D45A7C">
                            <w:pPr>
                              <w:rPr>
                                <w:rFonts w:asciiTheme="majorHAnsi" w:hAnsiTheme="majorHAnsi"/>
                                <w:sz w:val="20"/>
                                <w:szCs w:val="20"/>
                              </w:rPr>
                            </w:pPr>
                            <w:r w:rsidRPr="00F35183">
                              <w:rPr>
                                <w:rFonts w:asciiTheme="majorHAnsi" w:hAnsiTheme="majorHAnsi"/>
                                <w:sz w:val="20"/>
                                <w:szCs w:val="20"/>
                                <w:u w:val="single"/>
                              </w:rPr>
                              <w:t>Flywheels</w:t>
                            </w:r>
                            <w:r w:rsidRPr="00F35183">
                              <w:rPr>
                                <w:rFonts w:asciiTheme="majorHAnsi" w:hAnsiTheme="majorHAnsi"/>
                                <w:sz w:val="20"/>
                                <w:szCs w:val="20"/>
                              </w:rPr>
                              <w:t xml:space="preserve"> store energy as spinning mass, which can be slowed using a ge</w:t>
                            </w:r>
                            <w:r>
                              <w:rPr>
                                <w:rFonts w:asciiTheme="majorHAnsi" w:hAnsiTheme="majorHAnsi"/>
                                <w:sz w:val="20"/>
                                <w:szCs w:val="20"/>
                              </w:rPr>
                              <w:t>nerator to produce electricity.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34" type="#_x0000_t202" style="position:absolute;margin-left:300.95pt;margin-top:11.95pt;width:189pt;height:344.9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" filled="f" strokecolor="#004b6b">
                <v:textbox>
                  <w:txbxContent>
                    <w:p w14:paraId="6BB98545" w14:textId="2F0C6723" w:rsidR="006506BB" w:rsidRPr="00F35183" w:rsidRDefault="006506BB" w:rsidP="00D45A7C">
                      <w:pPr>
                        <w:pStyle w:val="CommentText"/>
                        <w:rPr>
                          <w:rFonts w:asciiTheme="majorHAnsi" w:hAnsiTheme="majorHAnsi"/>
                          <w:b/>
                          <w:sz w:val="20"/>
                          <w:szCs w:val="20"/>
                        </w:rPr>
                      </w:pPr>
                      <w:r w:rsidRPr="00F35183">
                        <w:rPr>
                          <w:rFonts w:asciiTheme="majorHAnsi" w:hAnsiTheme="majorHAnsi"/>
                          <w:b/>
                          <w:sz w:val="20"/>
                          <w:szCs w:val="20"/>
                        </w:rPr>
                        <w:t>Selected types of energy storage:</w:t>
                      </w:r>
                    </w:p>
                    <w:p w14:paraId="473A9B15" w14:textId="77777777" w:rsidR="006506BB" w:rsidRPr="00F35183" w:rsidRDefault="006506BB" w:rsidP="00D45A7C">
                      <w:pPr>
                        <w:pStyle w:val="CommentText"/>
                        <w:rPr>
                          <w:rFonts w:asciiTheme="majorHAnsi" w:hAnsiTheme="majorHAnsi"/>
                          <w:sz w:val="20"/>
                          <w:szCs w:val="20"/>
                        </w:rPr>
                      </w:pPr>
                    </w:p>
                    <w:p w14:paraId="2E5C4793" w14:textId="77777777" w:rsidR="006506BB" w:rsidRPr="00F35183" w:rsidRDefault="006506BB" w:rsidP="00D45A7C">
                      <w:pPr>
                        <w:pStyle w:val="CommentText"/>
                        <w:rPr>
                          <w:rFonts w:asciiTheme="majorHAnsi" w:hAnsiTheme="majorHAnsi"/>
                          <w:sz w:val="20"/>
                          <w:szCs w:val="20"/>
                        </w:rPr>
                      </w:pPr>
                      <w:r w:rsidRPr="00F35183">
                        <w:rPr>
                          <w:rFonts w:asciiTheme="majorHAnsi" w:hAnsiTheme="majorHAnsi"/>
                          <w:sz w:val="20"/>
                          <w:szCs w:val="20"/>
                          <w:u w:val="single"/>
                        </w:rPr>
                        <w:t>Batteries</w:t>
                      </w:r>
                      <w:r w:rsidRPr="00F35183">
                        <w:rPr>
                          <w:rFonts w:asciiTheme="majorHAnsi" w:hAnsiTheme="majorHAnsi"/>
                          <w:sz w:val="20"/>
                          <w:szCs w:val="20"/>
                        </w:rPr>
                        <w:t xml:space="preserve"> store energy chemically to directly provide electricity when discharging</w:t>
                      </w:r>
                    </w:p>
                    <w:p w14:paraId="2532AF2A" w14:textId="77777777" w:rsidR="006506BB" w:rsidRPr="00F35183" w:rsidRDefault="006506BB" w:rsidP="00D45A7C">
                      <w:pPr>
                        <w:pStyle w:val="CommentText"/>
                        <w:rPr>
                          <w:rFonts w:asciiTheme="majorHAnsi" w:hAnsiTheme="majorHAnsi"/>
                          <w:sz w:val="20"/>
                          <w:szCs w:val="20"/>
                        </w:rPr>
                      </w:pPr>
                    </w:p>
                    <w:p w14:paraId="2476B327" w14:textId="77777777" w:rsidR="006506BB" w:rsidRPr="00F35183" w:rsidRDefault="006506BB" w:rsidP="00D45A7C">
                      <w:pPr>
                        <w:pStyle w:val="CommentText"/>
                        <w:rPr>
                          <w:rFonts w:asciiTheme="majorHAnsi" w:hAnsiTheme="majorHAnsi"/>
                          <w:sz w:val="20"/>
                          <w:szCs w:val="20"/>
                        </w:rPr>
                      </w:pPr>
                      <w:r w:rsidRPr="00F35183">
                        <w:rPr>
                          <w:rFonts w:asciiTheme="majorHAnsi" w:hAnsiTheme="majorHAnsi"/>
                          <w:sz w:val="20"/>
                          <w:szCs w:val="20"/>
                          <w:u w:val="single"/>
                        </w:rPr>
                        <w:t>Thermal storage systems</w:t>
                      </w:r>
                      <w:r w:rsidRPr="00F35183">
                        <w:rPr>
                          <w:rFonts w:asciiTheme="majorHAnsi" w:hAnsiTheme="majorHAnsi"/>
                          <w:sz w:val="20"/>
                          <w:szCs w:val="20"/>
                        </w:rPr>
                        <w:t xml:space="preserve"> store thermal energy in order to shift the timing of electricity use from one time to another.</w:t>
                      </w:r>
                    </w:p>
                    <w:p w14:paraId="78C3B149" w14:textId="77777777" w:rsidR="006506BB" w:rsidRPr="00F35183" w:rsidRDefault="006506BB" w:rsidP="00D45A7C">
                      <w:pPr>
                        <w:pStyle w:val="CommentText"/>
                        <w:rPr>
                          <w:rFonts w:asciiTheme="majorHAnsi" w:hAnsiTheme="majorHAnsi"/>
                          <w:sz w:val="20"/>
                          <w:szCs w:val="20"/>
                        </w:rPr>
                      </w:pPr>
                    </w:p>
                    <w:p w14:paraId="067540B9" w14:textId="77777777" w:rsidR="006506BB" w:rsidRPr="00F35183" w:rsidRDefault="006506BB" w:rsidP="00D45A7C">
                      <w:pPr>
                        <w:pStyle w:val="CommentText"/>
                        <w:rPr>
                          <w:rFonts w:asciiTheme="majorHAnsi" w:hAnsiTheme="majorHAnsi"/>
                          <w:sz w:val="20"/>
                          <w:szCs w:val="20"/>
                        </w:rPr>
                      </w:pPr>
                      <w:r w:rsidRPr="00F35183">
                        <w:rPr>
                          <w:rFonts w:asciiTheme="majorHAnsi" w:hAnsiTheme="majorHAnsi"/>
                          <w:sz w:val="20"/>
                          <w:szCs w:val="20"/>
                          <w:u w:val="single"/>
                        </w:rPr>
                        <w:t>Pumped hydro</w:t>
                      </w:r>
                      <w:r w:rsidRPr="00F35183">
                        <w:rPr>
                          <w:rFonts w:asciiTheme="majorHAnsi" w:hAnsiTheme="majorHAnsi"/>
                          <w:sz w:val="20"/>
                          <w:szCs w:val="20"/>
                        </w:rPr>
                        <w:t xml:space="preserve"> facilities store energy by pumping water uphill, then generating electricity later by letting it pass through turbines as it falls.</w:t>
                      </w:r>
                    </w:p>
                    <w:p w14:paraId="5B40AEC8" w14:textId="77777777" w:rsidR="006506BB" w:rsidRPr="00F35183" w:rsidRDefault="006506BB" w:rsidP="00D45A7C">
                      <w:pPr>
                        <w:pStyle w:val="CommentText"/>
                        <w:rPr>
                          <w:rFonts w:asciiTheme="majorHAnsi" w:hAnsiTheme="majorHAnsi"/>
                          <w:sz w:val="20"/>
                          <w:szCs w:val="20"/>
                        </w:rPr>
                      </w:pPr>
                    </w:p>
                    <w:p w14:paraId="6834DC8F" w14:textId="2E3437D5" w:rsidR="006506BB" w:rsidRPr="00F35183" w:rsidRDefault="006506BB" w:rsidP="00D45A7C">
                      <w:pPr>
                        <w:rPr>
                          <w:rFonts w:asciiTheme="majorHAnsi" w:hAnsiTheme="majorHAnsi"/>
                          <w:sz w:val="20"/>
                          <w:szCs w:val="20"/>
                        </w:rPr>
                      </w:pPr>
                      <w:r w:rsidRPr="00F35183">
                        <w:rPr>
                          <w:rFonts w:asciiTheme="majorHAnsi" w:hAnsiTheme="majorHAnsi"/>
                          <w:sz w:val="20"/>
                          <w:szCs w:val="20"/>
                          <w:u w:val="single"/>
                        </w:rPr>
                        <w:t>Flywheels</w:t>
                      </w:r>
                      <w:r w:rsidRPr="00F35183">
                        <w:rPr>
                          <w:rFonts w:asciiTheme="majorHAnsi" w:hAnsiTheme="majorHAnsi"/>
                          <w:sz w:val="20"/>
                          <w:szCs w:val="20"/>
                        </w:rPr>
                        <w:t xml:space="preserve"> store energy as spinning mass, which can be slowed using a ge</w:t>
                      </w:r>
                      <w:r>
                        <w:rPr>
                          <w:rFonts w:asciiTheme="majorHAnsi" w:hAnsiTheme="majorHAnsi"/>
                          <w:sz w:val="20"/>
                          <w:szCs w:val="20"/>
                        </w:rPr>
                        <w:t>nerator to produce electricity.</w:t>
                      </w:r>
                    </w:p>
                  </w:txbxContent>
                </v:textbox>
                <w10:wrap type="square"/>
              </v:shape>
            </w:pict>
          </mc:Fallback>
        </mc:AlternateContent>
      </w:r>
      <w:r w:rsidR="00B65A50" w:rsidRPr="00F041AD">
        <w:rPr>
          <w:b/>
          <w:i/>
          <w:color w:val="333333" w:themeColor="background1"/>
        </w:rPr>
        <w:t>Strategy overview</w:t>
      </w:r>
    </w:p>
    <w:p w14:paraId="6487DE7C" w14:textId="77777777" w:rsidR="00B65A50" w:rsidRPr="00F041AD" w:rsidRDefault="00B65A50" w:rsidP="00B37CBA">
      <w:pPr>
        <w:pStyle w:val="5BodyText"/>
        <w:rPr>
          <w:color w:val="333333" w:themeColor="background1"/>
        </w:rPr>
      </w:pPr>
      <w:r w:rsidRPr="00F041AD">
        <w:rPr>
          <w:color w:val="333333" w:themeColor="background1"/>
        </w:rPr>
        <w:t>Electricity is unlike most commodities in that supply and demand must be balanced at all times. As a result, the grid has significant power plant capacity that is only used a small number of hours each year when demand spikes. Peak demand has increased more rapidly than average demand over the past 10 years in many areas of the country, including the Midwest</w:t>
      </w:r>
      <w:r w:rsidRPr="00F041AD">
        <w:rPr>
          <w:color w:val="333333" w:themeColor="background1"/>
          <w:vertAlign w:val="superscript"/>
        </w:rPr>
        <w:endnoteReference w:id="128"/>
      </w:r>
      <w:r w:rsidRPr="00F041AD">
        <w:rPr>
          <w:color w:val="333333" w:themeColor="background1"/>
        </w:rPr>
        <w:t>. If this peak demand is met with additional power plant capacity, the system becomes both less efficient and more expensive thereby increasing costs to utilities and customers.</w:t>
      </w:r>
    </w:p>
    <w:p w14:paraId="7FCEB6A4" w14:textId="77777777" w:rsidR="00B65A50" w:rsidRPr="00F041AD" w:rsidRDefault="00B65A50" w:rsidP="00B37CBA">
      <w:pPr>
        <w:pStyle w:val="5BodyText"/>
        <w:rPr>
          <w:color w:val="333333" w:themeColor="background1"/>
        </w:rPr>
      </w:pPr>
    </w:p>
    <w:p w14:paraId="0E66B7F7" w14:textId="3F4C7707" w:rsidR="00B65A50" w:rsidRPr="00F041AD" w:rsidRDefault="00B65A50" w:rsidP="00B37CBA">
      <w:pPr>
        <w:pStyle w:val="5BodyText"/>
        <w:rPr>
          <w:color w:val="333333" w:themeColor="background1"/>
        </w:rPr>
      </w:pPr>
      <w:r w:rsidRPr="00F041AD">
        <w:rPr>
          <w:color w:val="333333" w:themeColor="background1"/>
        </w:rPr>
        <w:t>Battery storage, which can alleviate this issue, has until recently been prohibitively expensive. However, costs are quickly decreasing prompting some utilities to speculate that building batteries to meet peak demand may soon be cheaper than building additional traditional power plants.</w:t>
      </w:r>
      <w:r w:rsidRPr="00F041AD">
        <w:rPr>
          <w:color w:val="333333" w:themeColor="background1"/>
          <w:vertAlign w:val="superscript"/>
        </w:rPr>
        <w:endnoteReference w:id="129"/>
      </w:r>
      <w:r w:rsidRPr="00F041AD">
        <w:rPr>
          <w:color w:val="333333" w:themeColor="background1"/>
        </w:rPr>
        <w:t xml:space="preserve"> Similarly, “demand response” capabilities have improved dramatically in recent years, with costs that are often much lower than traditional power plants.</w:t>
      </w:r>
      <w:r w:rsidRPr="00F041AD">
        <w:rPr>
          <w:color w:val="333333" w:themeColor="background1"/>
          <w:vertAlign w:val="superscript"/>
        </w:rPr>
        <w:endnoteReference w:id="130"/>
      </w:r>
      <w:r w:rsidRPr="00F041AD">
        <w:rPr>
          <w:color w:val="333333" w:themeColor="background1"/>
        </w:rPr>
        <w:t xml:space="preserve"> </w:t>
      </w:r>
      <w:r w:rsidRPr="00F041AD">
        <w:rPr>
          <w:i/>
          <w:color w:val="333333" w:themeColor="background1"/>
        </w:rPr>
        <w:t>Demand response</w:t>
      </w:r>
      <w:r w:rsidRPr="00F041AD">
        <w:rPr>
          <w:color w:val="333333" w:themeColor="background1"/>
        </w:rPr>
        <w:t xml:space="preserve"> (or DR) refers to providing incentives for customers to use less energy during peak demand hours.</w:t>
      </w:r>
    </w:p>
    <w:p w14:paraId="15AC2F5D" w14:textId="77777777" w:rsidR="00B65A50" w:rsidRPr="00F041AD" w:rsidRDefault="00B65A50" w:rsidP="00B37CBA">
      <w:pPr>
        <w:pStyle w:val="5BodyText"/>
        <w:rPr>
          <w:color w:val="333333" w:themeColor="background1"/>
        </w:rPr>
      </w:pPr>
    </w:p>
    <w:p w14:paraId="00A328F4" w14:textId="09A1BD58" w:rsidR="00B65A50" w:rsidRPr="00F041AD" w:rsidRDefault="00B65A50" w:rsidP="00B37CBA">
      <w:pPr>
        <w:pStyle w:val="5BodyText"/>
        <w:rPr>
          <w:color w:val="333333" w:themeColor="background1"/>
        </w:rPr>
      </w:pPr>
      <w:r w:rsidRPr="00F041AD">
        <w:rPr>
          <w:color w:val="333333" w:themeColor="background1"/>
        </w:rPr>
        <w:t>There is significant national momentum in both storage and DR, and Minnesota utilities are already pilot testing both solutions. This strategy outlines near-term steps to capture the benefits of these emerging grid resources.</w:t>
      </w:r>
    </w:p>
    <w:p w14:paraId="737F2367" w14:textId="77777777" w:rsidR="00B65A50" w:rsidRPr="00F041AD" w:rsidRDefault="00B65A50" w:rsidP="00B37CBA">
      <w:pPr>
        <w:pStyle w:val="5BodyText"/>
        <w:rPr>
          <w:color w:val="333333" w:themeColor="background1"/>
        </w:rPr>
      </w:pPr>
    </w:p>
    <w:p w14:paraId="6F7E263E" w14:textId="10477925" w:rsidR="00B65A50" w:rsidRPr="00F041AD" w:rsidRDefault="00B65A50" w:rsidP="00B37CBA">
      <w:pPr>
        <w:pStyle w:val="5BodyText"/>
        <w:rPr>
          <w:b/>
          <w:i/>
          <w:color w:val="333333" w:themeColor="background1"/>
        </w:rPr>
      </w:pPr>
      <w:r w:rsidRPr="00F041AD">
        <w:rPr>
          <w:b/>
          <w:i/>
          <w:color w:val="333333" w:themeColor="background1"/>
        </w:rPr>
        <w:t>Specific actions for strategy implementation</w:t>
      </w:r>
    </w:p>
    <w:p w14:paraId="68215560" w14:textId="3AAA56F5" w:rsidR="00B65A50" w:rsidRPr="00F041AD" w:rsidRDefault="00B65A50" w:rsidP="00A7299A">
      <w:pPr>
        <w:pStyle w:val="5BodyText"/>
        <w:numPr>
          <w:ilvl w:val="0"/>
          <w:numId w:val="36"/>
        </w:numPr>
        <w:rPr>
          <w:rFonts w:asciiTheme="majorHAnsi" w:hAnsiTheme="majorHAnsi"/>
          <w:color w:val="333333" w:themeColor="background1"/>
        </w:rPr>
      </w:pPr>
      <w:r w:rsidRPr="00F041AD">
        <w:rPr>
          <w:rFonts w:asciiTheme="majorHAnsi" w:hAnsiTheme="majorHAnsi"/>
          <w:b/>
          <w:color w:val="333333" w:themeColor="background1"/>
        </w:rPr>
        <w:t>Explore opportunities for federal funding and partnerships to integrate energy storage and demand response into grid operations.</w:t>
      </w:r>
      <w:r w:rsidRPr="00F041AD">
        <w:rPr>
          <w:rFonts w:asciiTheme="majorHAnsi" w:hAnsiTheme="majorHAnsi"/>
          <w:color w:val="333333" w:themeColor="background1"/>
        </w:rPr>
        <w:br/>
        <w:t>With the growing national momentum to integrate storage and demand response, there are emerging opportunities to pursue federal funding and/or other partnership opportunities for demonstration projects. Demonstration projects can help quantify the value proposition for these technologies, beyond what Minnesota utilities have already demonstrated.</w:t>
      </w:r>
      <w:r w:rsidRPr="00F041AD">
        <w:rPr>
          <w:rFonts w:asciiTheme="majorHAnsi" w:hAnsiTheme="majorHAnsi"/>
          <w:color w:val="333333" w:themeColor="background1"/>
        </w:rPr>
        <w:br/>
      </w:r>
      <w:r w:rsidRPr="00F041AD">
        <w:rPr>
          <w:rFonts w:asciiTheme="majorHAnsi" w:hAnsiTheme="majorHAnsi"/>
          <w:color w:val="333333" w:themeColor="background1"/>
        </w:rPr>
        <w:br/>
      </w:r>
      <w:r w:rsidRPr="00F041AD">
        <w:rPr>
          <w:rFonts w:asciiTheme="majorHAnsi" w:hAnsiTheme="majorHAnsi"/>
          <w:b/>
          <w:color w:val="333333" w:themeColor="background1"/>
        </w:rPr>
        <w:t xml:space="preserve">Champions/Key Participants: </w:t>
      </w:r>
      <w:r w:rsidRPr="00F041AD">
        <w:rPr>
          <w:rFonts w:asciiTheme="majorHAnsi" w:hAnsiTheme="majorHAnsi"/>
          <w:b/>
          <w:color w:val="333333" w:themeColor="background1"/>
        </w:rPr>
        <w:br/>
      </w:r>
      <w:r w:rsidRPr="00F041AD">
        <w:rPr>
          <w:rFonts w:asciiTheme="majorHAnsi" w:hAnsiTheme="majorHAnsi"/>
          <w:color w:val="333333" w:themeColor="background1"/>
          <w:u w:val="single"/>
        </w:rPr>
        <w:t>- Energy Storage Collaborative, led by University of Minnesota Energy Transition Lab</w:t>
      </w:r>
      <w:r w:rsidRPr="00F041AD">
        <w:rPr>
          <w:rFonts w:asciiTheme="majorHAnsi" w:hAnsiTheme="majorHAnsi"/>
          <w:color w:val="333333" w:themeColor="background1"/>
        </w:rPr>
        <w:t xml:space="preserve"> can develop partnerships for response to funding opportunities.</w:t>
      </w:r>
      <w:r w:rsidRPr="00F041AD">
        <w:rPr>
          <w:rFonts w:asciiTheme="majorHAnsi" w:hAnsiTheme="majorHAnsi"/>
          <w:color w:val="333333" w:themeColor="background1"/>
        </w:rPr>
        <w:br/>
      </w:r>
      <w:r w:rsidRPr="00F041AD">
        <w:rPr>
          <w:rFonts w:asciiTheme="majorHAnsi" w:hAnsiTheme="majorHAnsi"/>
          <w:color w:val="333333" w:themeColor="background1"/>
          <w:u w:val="single"/>
        </w:rPr>
        <w:t>- Energy Storage Technology Advancement Partnership (ESTAP)</w:t>
      </w:r>
      <w:r w:rsidRPr="00F041AD">
        <w:rPr>
          <w:rFonts w:asciiTheme="majorHAnsi" w:hAnsiTheme="majorHAnsi"/>
          <w:color w:val="333333" w:themeColor="background1"/>
        </w:rPr>
        <w:t xml:space="preserve"> is a collaboration of Sandia National Laboratory and Clean Energy State Alliance (CESA) that facilitates technical assistance and co-funding partnerships between states and the U.S. Department of Energy.</w:t>
      </w:r>
      <w:r w:rsidRPr="00F041AD">
        <w:rPr>
          <w:rFonts w:asciiTheme="majorHAnsi" w:hAnsiTheme="majorHAnsi"/>
          <w:color w:val="333333" w:themeColor="background1"/>
        </w:rPr>
        <w:br/>
      </w:r>
      <w:r w:rsidRPr="00F041AD">
        <w:rPr>
          <w:rFonts w:asciiTheme="majorHAnsi" w:hAnsiTheme="majorHAnsi"/>
          <w:color w:val="333333" w:themeColor="background1"/>
          <w:u w:val="single"/>
        </w:rPr>
        <w:t>- Xcel Energy</w:t>
      </w:r>
      <w:r w:rsidRPr="00F041AD">
        <w:rPr>
          <w:rFonts w:asciiTheme="majorHAnsi" w:hAnsiTheme="majorHAnsi"/>
          <w:color w:val="333333" w:themeColor="background1"/>
        </w:rPr>
        <w:t xml:space="preserve"> in its October 2015 </w:t>
      </w:r>
      <w:hyperlink r:id="rId71">
        <w:r w:rsidRPr="00F041AD">
          <w:rPr>
            <w:rFonts w:asciiTheme="majorHAnsi" w:hAnsiTheme="majorHAnsi"/>
            <w:color w:val="333333" w:themeColor="background1"/>
            <w:u w:val="single"/>
          </w:rPr>
          <w:t>Grid Modernization filing</w:t>
        </w:r>
      </w:hyperlink>
      <w:r w:rsidRPr="00F041AD">
        <w:rPr>
          <w:rFonts w:asciiTheme="majorHAnsi" w:hAnsiTheme="majorHAnsi"/>
          <w:color w:val="333333" w:themeColor="background1"/>
          <w:u w:val="single"/>
        </w:rPr>
        <w:t xml:space="preserve"> </w:t>
      </w:r>
      <w:r w:rsidRPr="00F041AD">
        <w:rPr>
          <w:rFonts w:asciiTheme="majorHAnsi" w:hAnsiTheme="majorHAnsi"/>
          <w:color w:val="333333" w:themeColor="background1"/>
        </w:rPr>
        <w:t xml:space="preserve">proposed a solar and Battery Storage project in Belle </w:t>
      </w:r>
      <w:proofErr w:type="spellStart"/>
      <w:r w:rsidRPr="00F041AD">
        <w:rPr>
          <w:rFonts w:asciiTheme="majorHAnsi" w:hAnsiTheme="majorHAnsi"/>
          <w:color w:val="333333" w:themeColor="background1"/>
        </w:rPr>
        <w:t>Plaine</w:t>
      </w:r>
      <w:proofErr w:type="spellEnd"/>
      <w:r w:rsidRPr="00F041AD">
        <w:rPr>
          <w:rFonts w:asciiTheme="majorHAnsi" w:hAnsiTheme="majorHAnsi"/>
          <w:color w:val="333333" w:themeColor="background1"/>
        </w:rPr>
        <w:t xml:space="preserve">, MN.  Xcel has deployed other battery storage pilot projects in </w:t>
      </w:r>
      <w:hyperlink r:id="rId72" w:anchor="maxime-et-ex-velit" w:history="1">
        <w:r w:rsidRPr="00F041AD">
          <w:rPr>
            <w:rStyle w:val="Hyperlink"/>
            <w:rFonts w:asciiTheme="majorHAnsi" w:hAnsiTheme="majorHAnsi"/>
            <w:color w:val="333333" w:themeColor="background1"/>
          </w:rPr>
          <w:t>Minnesota</w:t>
        </w:r>
      </w:hyperlink>
      <w:r w:rsidRPr="00F041AD">
        <w:rPr>
          <w:rFonts w:asciiTheme="majorHAnsi" w:hAnsiTheme="majorHAnsi"/>
          <w:color w:val="333333" w:themeColor="background1"/>
        </w:rPr>
        <w:t xml:space="preserve"> and </w:t>
      </w:r>
      <w:hyperlink r:id="rId73" w:history="1">
        <w:r w:rsidRPr="00F041AD">
          <w:rPr>
            <w:rStyle w:val="Hyperlink"/>
            <w:rFonts w:asciiTheme="majorHAnsi" w:hAnsiTheme="majorHAnsi"/>
            <w:color w:val="333333" w:themeColor="background1"/>
          </w:rPr>
          <w:t>Colorado</w:t>
        </w:r>
      </w:hyperlink>
      <w:r w:rsidRPr="00F041AD">
        <w:rPr>
          <w:rFonts w:asciiTheme="majorHAnsi" w:hAnsiTheme="majorHAnsi"/>
          <w:color w:val="333333" w:themeColor="background1"/>
        </w:rPr>
        <w:t>.</w:t>
      </w:r>
      <w:r w:rsidRPr="00F041AD">
        <w:rPr>
          <w:rFonts w:asciiTheme="majorHAnsi" w:hAnsiTheme="majorHAnsi"/>
          <w:color w:val="333333" w:themeColor="background1"/>
        </w:rPr>
        <w:br/>
      </w:r>
      <w:r w:rsidRPr="00F041AD">
        <w:rPr>
          <w:rFonts w:asciiTheme="majorHAnsi" w:hAnsiTheme="majorHAnsi"/>
          <w:color w:val="333333" w:themeColor="background1"/>
          <w:u w:val="single"/>
        </w:rPr>
        <w:t>- Great River Energy</w:t>
      </w:r>
      <w:r w:rsidRPr="00F041AD">
        <w:rPr>
          <w:rFonts w:asciiTheme="majorHAnsi" w:hAnsiTheme="majorHAnsi"/>
          <w:color w:val="333333" w:themeColor="background1"/>
        </w:rPr>
        <w:t xml:space="preserve"> is </w:t>
      </w:r>
      <w:hyperlink r:id="rId74" w:history="1">
        <w:r w:rsidRPr="00F041AD">
          <w:rPr>
            <w:rStyle w:val="Hyperlink"/>
            <w:rFonts w:asciiTheme="majorHAnsi" w:hAnsiTheme="majorHAnsi"/>
            <w:color w:val="333333" w:themeColor="background1"/>
          </w:rPr>
          <w:t>exploring opportunities</w:t>
        </w:r>
      </w:hyperlink>
      <w:r w:rsidRPr="00F041AD">
        <w:rPr>
          <w:rFonts w:asciiTheme="majorHAnsi" w:hAnsiTheme="majorHAnsi"/>
          <w:color w:val="333333" w:themeColor="background1"/>
        </w:rPr>
        <w:t xml:space="preserve"> to further its understanding and involvement with distributed energy resources, including </w:t>
      </w:r>
      <w:hyperlink r:id="rId75" w:history="1">
        <w:r w:rsidRPr="00F041AD">
          <w:rPr>
            <w:rStyle w:val="Hyperlink"/>
            <w:rFonts w:asciiTheme="majorHAnsi" w:hAnsiTheme="majorHAnsi"/>
            <w:color w:val="333333" w:themeColor="background1"/>
          </w:rPr>
          <w:t>demand response</w:t>
        </w:r>
      </w:hyperlink>
      <w:r w:rsidRPr="00F041AD">
        <w:rPr>
          <w:rFonts w:asciiTheme="majorHAnsi" w:hAnsiTheme="majorHAnsi"/>
          <w:color w:val="333333" w:themeColor="background1"/>
        </w:rPr>
        <w:t xml:space="preserve"> and </w:t>
      </w:r>
      <w:hyperlink r:id="rId76" w:history="1">
        <w:r w:rsidRPr="00F041AD">
          <w:rPr>
            <w:rStyle w:val="Hyperlink"/>
            <w:rFonts w:asciiTheme="majorHAnsi" w:hAnsiTheme="majorHAnsi"/>
            <w:color w:val="333333" w:themeColor="background1"/>
          </w:rPr>
          <w:t>energy storage</w:t>
        </w:r>
      </w:hyperlink>
      <w:r w:rsidRPr="00F041AD">
        <w:rPr>
          <w:rFonts w:asciiTheme="majorHAnsi" w:hAnsiTheme="majorHAnsi"/>
          <w:color w:val="333333" w:themeColor="background1"/>
        </w:rPr>
        <w:t>.</w:t>
      </w:r>
      <w:r w:rsidRPr="00F041AD">
        <w:rPr>
          <w:rFonts w:asciiTheme="majorHAnsi" w:hAnsiTheme="majorHAnsi"/>
          <w:color w:val="333333" w:themeColor="background1"/>
        </w:rPr>
        <w:br/>
      </w:r>
      <w:r w:rsidRPr="00F041AD">
        <w:rPr>
          <w:rFonts w:asciiTheme="majorHAnsi" w:hAnsiTheme="majorHAnsi"/>
          <w:color w:val="333333" w:themeColor="background1"/>
          <w:u w:val="single"/>
        </w:rPr>
        <w:t>- CEE</w:t>
      </w:r>
      <w:r w:rsidRPr="00F041AD">
        <w:rPr>
          <w:rFonts w:asciiTheme="majorHAnsi" w:hAnsiTheme="majorHAnsi"/>
          <w:color w:val="333333" w:themeColor="background1"/>
        </w:rPr>
        <w:t xml:space="preserve"> provides analysis, engagement and education on opportunities and value proposition to end-users and utilities.  CEE administers the </w:t>
      </w:r>
      <w:hyperlink r:id="rId77" w:history="1">
        <w:r w:rsidRPr="00F041AD">
          <w:rPr>
            <w:rStyle w:val="Hyperlink"/>
            <w:rFonts w:asciiTheme="majorHAnsi" w:hAnsiTheme="majorHAnsi"/>
            <w:color w:val="333333" w:themeColor="background1"/>
          </w:rPr>
          <w:t>Energy Intelligence</w:t>
        </w:r>
      </w:hyperlink>
      <w:r w:rsidRPr="00F041AD">
        <w:rPr>
          <w:rFonts w:asciiTheme="majorHAnsi" w:hAnsiTheme="majorHAnsi"/>
          <w:color w:val="333333" w:themeColor="background1"/>
        </w:rPr>
        <w:t xml:space="preserve"> demand response CIP program for Xcel Energy.</w:t>
      </w:r>
      <w:r w:rsidRPr="00F041AD">
        <w:rPr>
          <w:rFonts w:asciiTheme="majorHAnsi" w:hAnsiTheme="majorHAnsi"/>
          <w:color w:val="333333" w:themeColor="background1"/>
        </w:rPr>
        <w:br/>
      </w:r>
      <w:r w:rsidRPr="00F041AD">
        <w:rPr>
          <w:rFonts w:asciiTheme="majorHAnsi" w:hAnsiTheme="majorHAnsi"/>
          <w:color w:val="333333" w:themeColor="background1"/>
          <w:u w:val="single"/>
        </w:rPr>
        <w:t>- Minnesota Department of Commerce</w:t>
      </w:r>
      <w:r w:rsidRPr="00F041AD">
        <w:rPr>
          <w:rFonts w:asciiTheme="majorHAnsi" w:hAnsiTheme="majorHAnsi"/>
          <w:color w:val="333333" w:themeColor="background1"/>
        </w:rPr>
        <w:t xml:space="preserve"> contracted for analyses of </w:t>
      </w:r>
      <w:hyperlink r:id="rId78" w:history="1">
        <w:r w:rsidRPr="00F041AD">
          <w:rPr>
            <w:rStyle w:val="Hyperlink"/>
            <w:rFonts w:asciiTheme="majorHAnsi" w:hAnsiTheme="majorHAnsi"/>
            <w:color w:val="333333" w:themeColor="background1"/>
          </w:rPr>
          <w:t>Energy Storage</w:t>
        </w:r>
      </w:hyperlink>
      <w:r w:rsidRPr="00F041AD">
        <w:rPr>
          <w:rFonts w:asciiTheme="majorHAnsi" w:hAnsiTheme="majorHAnsi"/>
          <w:color w:val="333333" w:themeColor="background1"/>
        </w:rPr>
        <w:t xml:space="preserve"> and </w:t>
      </w:r>
      <w:hyperlink r:id="rId79" w:history="1">
        <w:proofErr w:type="spellStart"/>
        <w:r w:rsidRPr="00F041AD">
          <w:rPr>
            <w:rStyle w:val="Hyperlink"/>
            <w:rFonts w:asciiTheme="majorHAnsi" w:hAnsiTheme="majorHAnsi"/>
            <w:color w:val="333333" w:themeColor="background1"/>
          </w:rPr>
          <w:t>Microgrids</w:t>
        </w:r>
        <w:proofErr w:type="spellEnd"/>
      </w:hyperlink>
      <w:r w:rsidRPr="00F041AD">
        <w:rPr>
          <w:rFonts w:asciiTheme="majorHAnsi" w:hAnsiTheme="majorHAnsi"/>
          <w:color w:val="333333" w:themeColor="background1"/>
        </w:rPr>
        <w:t xml:space="preserve"> in 2013, and reviews the costs and benefits of demand response for inclusion in utility Conservation Improvement Programs.</w:t>
      </w:r>
      <w:r w:rsidRPr="00F041AD">
        <w:rPr>
          <w:rFonts w:asciiTheme="majorHAnsi" w:hAnsiTheme="majorHAnsi"/>
          <w:color w:val="333333" w:themeColor="background1"/>
        </w:rPr>
        <w:br/>
      </w:r>
      <w:r w:rsidRPr="00F041AD">
        <w:rPr>
          <w:rFonts w:asciiTheme="majorHAnsi" w:hAnsiTheme="majorHAnsi"/>
          <w:color w:val="333333" w:themeColor="background1"/>
          <w:u w:val="single"/>
        </w:rPr>
        <w:t xml:space="preserve">- Minnesota Public Utilities Commission </w:t>
      </w:r>
      <w:r w:rsidRPr="00F041AD">
        <w:rPr>
          <w:rFonts w:asciiTheme="majorHAnsi" w:hAnsiTheme="majorHAnsi"/>
          <w:color w:val="333333" w:themeColor="background1"/>
        </w:rPr>
        <w:t>reviews the costs and benefits of energy storage and demand response for inclusion in utility Grid Modernization and Integrated Resource Plans.</w:t>
      </w:r>
      <w:r w:rsidRPr="00F041AD">
        <w:rPr>
          <w:rFonts w:asciiTheme="majorHAnsi" w:hAnsiTheme="majorHAnsi"/>
          <w:color w:val="333333" w:themeColor="background1"/>
        </w:rPr>
        <w:br/>
      </w:r>
    </w:p>
    <w:p w14:paraId="01C0B8D8" w14:textId="2DCE7CC6" w:rsidR="00B65A50" w:rsidRPr="00F041AD" w:rsidRDefault="00B65A50" w:rsidP="00A7299A">
      <w:pPr>
        <w:pStyle w:val="5BodyText"/>
        <w:numPr>
          <w:ilvl w:val="0"/>
          <w:numId w:val="36"/>
        </w:numPr>
        <w:rPr>
          <w:rFonts w:asciiTheme="majorHAnsi" w:hAnsiTheme="majorHAnsi"/>
          <w:color w:val="333333" w:themeColor="background1"/>
          <w:u w:val="single"/>
        </w:rPr>
      </w:pPr>
      <w:r w:rsidRPr="00F041AD">
        <w:rPr>
          <w:rFonts w:asciiTheme="majorHAnsi" w:hAnsiTheme="majorHAnsi"/>
          <w:b/>
          <w:color w:val="333333" w:themeColor="background1"/>
        </w:rPr>
        <w:t>Investigate energy storage and demand response participation in wholesale markets.</w:t>
      </w:r>
      <w:r w:rsidRPr="00F041AD">
        <w:rPr>
          <w:rFonts w:asciiTheme="majorHAnsi" w:hAnsiTheme="majorHAnsi"/>
          <w:color w:val="333333" w:themeColor="background1"/>
        </w:rPr>
        <w:br/>
        <w:t>Storage and demand response have many different value streams associated with them. For example, both resources can provide benefits in the following categories:</w:t>
      </w:r>
      <w:r w:rsidRPr="00F041AD">
        <w:rPr>
          <w:rFonts w:asciiTheme="majorHAnsi" w:hAnsiTheme="majorHAnsi"/>
          <w:color w:val="333333" w:themeColor="background1"/>
        </w:rPr>
        <w:br/>
      </w:r>
      <w:r w:rsidRPr="00F041AD">
        <w:rPr>
          <w:rFonts w:asciiTheme="majorHAnsi" w:hAnsiTheme="majorHAnsi"/>
          <w:color w:val="333333" w:themeColor="background1"/>
        </w:rPr>
        <w:br/>
        <w:t>- benefits to individual customers or groups of customers: lowering bills; providing increased reliability</w:t>
      </w:r>
      <w:r w:rsidRPr="00F041AD">
        <w:rPr>
          <w:rFonts w:asciiTheme="majorHAnsi" w:hAnsiTheme="majorHAnsi"/>
          <w:color w:val="333333" w:themeColor="background1"/>
        </w:rPr>
        <w:br/>
        <w:t xml:space="preserve">- benefits to local utilities: lowering peak demands; avoiding investment in traditional grid </w:t>
      </w:r>
      <w:r w:rsidRPr="00F041AD">
        <w:rPr>
          <w:rFonts w:asciiTheme="majorHAnsi" w:hAnsiTheme="majorHAnsi"/>
          <w:color w:val="333333" w:themeColor="background1"/>
        </w:rPr>
        <w:lastRenderedPageBreak/>
        <w:t>infrastructure.</w:t>
      </w:r>
      <w:r w:rsidRPr="00F041AD">
        <w:rPr>
          <w:rFonts w:asciiTheme="majorHAnsi" w:hAnsiTheme="majorHAnsi"/>
          <w:color w:val="333333" w:themeColor="background1"/>
        </w:rPr>
        <w:br/>
        <w:t>- benefits to the broader grid: allowing higher use of least-cost resources (including wind and solar PV); smoothing demand profiles.</w:t>
      </w:r>
      <w:r w:rsidRPr="00F041AD">
        <w:rPr>
          <w:rFonts w:asciiTheme="majorHAnsi" w:hAnsiTheme="majorHAnsi"/>
          <w:color w:val="333333" w:themeColor="background1"/>
        </w:rPr>
        <w:br/>
      </w:r>
      <w:r w:rsidRPr="00F041AD">
        <w:rPr>
          <w:rFonts w:asciiTheme="majorHAnsi" w:hAnsiTheme="majorHAnsi"/>
          <w:color w:val="333333" w:themeColor="background1"/>
        </w:rPr>
        <w:br/>
        <w:t>By pursuing options for these resources to participate in wholesale markets, the overall value proposition increases.</w:t>
      </w:r>
      <w:r w:rsidRPr="00F041AD">
        <w:rPr>
          <w:rFonts w:asciiTheme="majorHAnsi" w:hAnsiTheme="majorHAnsi"/>
          <w:color w:val="333333" w:themeColor="background1"/>
        </w:rPr>
        <w:br/>
      </w:r>
      <w:r w:rsidRPr="00F041AD">
        <w:rPr>
          <w:rFonts w:asciiTheme="majorHAnsi" w:hAnsiTheme="majorHAnsi"/>
          <w:color w:val="333333" w:themeColor="background1"/>
        </w:rPr>
        <w:br/>
      </w:r>
      <w:r w:rsidRPr="00F041AD">
        <w:rPr>
          <w:rFonts w:asciiTheme="majorHAnsi" w:hAnsiTheme="majorHAnsi"/>
          <w:b/>
          <w:color w:val="333333" w:themeColor="background1"/>
        </w:rPr>
        <w:t xml:space="preserve">Champions/Key Participants: </w:t>
      </w:r>
      <w:r w:rsidRPr="00F041AD">
        <w:rPr>
          <w:rFonts w:asciiTheme="majorHAnsi" w:hAnsiTheme="majorHAnsi"/>
          <w:b/>
          <w:color w:val="333333" w:themeColor="background1"/>
        </w:rPr>
        <w:br/>
      </w:r>
      <w:r w:rsidRPr="00F041AD">
        <w:rPr>
          <w:rFonts w:asciiTheme="majorHAnsi" w:hAnsiTheme="majorHAnsi"/>
          <w:color w:val="333333" w:themeColor="background1"/>
          <w:u w:val="single"/>
        </w:rPr>
        <w:t>- MISO</w:t>
      </w:r>
      <w:r w:rsidRPr="00F041AD">
        <w:rPr>
          <w:rFonts w:asciiTheme="majorHAnsi" w:hAnsiTheme="majorHAnsi"/>
          <w:color w:val="333333" w:themeColor="background1"/>
        </w:rPr>
        <w:t xml:space="preserve"> develops policies and procedures for energy storage and demand response participation in wholesale markets.</w:t>
      </w:r>
      <w:r w:rsidRPr="00F041AD">
        <w:rPr>
          <w:rFonts w:asciiTheme="majorHAnsi" w:hAnsiTheme="majorHAnsi"/>
          <w:color w:val="333333" w:themeColor="background1"/>
        </w:rPr>
        <w:br/>
      </w:r>
      <w:r w:rsidRPr="00F041AD">
        <w:rPr>
          <w:rFonts w:asciiTheme="majorHAnsi" w:hAnsiTheme="majorHAnsi"/>
          <w:color w:val="333333" w:themeColor="background1"/>
          <w:u w:val="single"/>
        </w:rPr>
        <w:t>- Energy Storage Collaborative, led by University of Minnesota Energy Transition Lab</w:t>
      </w:r>
      <w:r w:rsidRPr="00F041AD">
        <w:rPr>
          <w:rFonts w:asciiTheme="majorHAnsi" w:hAnsiTheme="majorHAnsi"/>
          <w:color w:val="333333" w:themeColor="background1"/>
        </w:rPr>
        <w:br/>
      </w:r>
      <w:r w:rsidRPr="00F041AD">
        <w:rPr>
          <w:rFonts w:asciiTheme="majorHAnsi" w:hAnsiTheme="majorHAnsi"/>
          <w:color w:val="333333" w:themeColor="background1"/>
          <w:u w:val="single"/>
        </w:rPr>
        <w:t>- Great River Energy</w:t>
      </w:r>
      <w:r w:rsidRPr="00F041AD">
        <w:rPr>
          <w:rFonts w:asciiTheme="majorHAnsi" w:hAnsiTheme="majorHAnsi"/>
          <w:color w:val="333333" w:themeColor="background1"/>
        </w:rPr>
        <w:t xml:space="preserve"> is evaluating how demand response and storage fit into wholesale markets.</w:t>
      </w:r>
      <w:r w:rsidRPr="00F041AD">
        <w:rPr>
          <w:rFonts w:asciiTheme="majorHAnsi" w:hAnsiTheme="majorHAnsi"/>
          <w:color w:val="333333" w:themeColor="background1"/>
        </w:rPr>
        <w:br/>
      </w:r>
      <w:r w:rsidRPr="00F041AD">
        <w:rPr>
          <w:rFonts w:asciiTheme="majorHAnsi" w:hAnsiTheme="majorHAnsi"/>
          <w:color w:val="333333" w:themeColor="background1"/>
          <w:u w:val="single"/>
        </w:rPr>
        <w:t xml:space="preserve">- CEE </w:t>
      </w:r>
      <w:r w:rsidRPr="00F041AD">
        <w:rPr>
          <w:rFonts w:asciiTheme="majorHAnsi" w:hAnsiTheme="majorHAnsi"/>
          <w:color w:val="333333" w:themeColor="background1"/>
        </w:rPr>
        <w:t xml:space="preserve">provides analysis, engagement and education on opportunities and value proposition to end-users and utilities.  </w:t>
      </w:r>
      <w:r w:rsidRPr="00F041AD">
        <w:rPr>
          <w:rFonts w:asciiTheme="majorHAnsi" w:hAnsiTheme="majorHAnsi"/>
          <w:color w:val="333333" w:themeColor="background1"/>
        </w:rPr>
        <w:br/>
      </w:r>
      <w:r w:rsidRPr="00F041AD">
        <w:rPr>
          <w:rFonts w:asciiTheme="majorHAnsi" w:hAnsiTheme="majorHAnsi"/>
          <w:color w:val="333333" w:themeColor="background1"/>
          <w:u w:val="single"/>
        </w:rPr>
        <w:t>- Great Plains Institute</w:t>
      </w:r>
      <w:r w:rsidRPr="00F041AD">
        <w:rPr>
          <w:rFonts w:asciiTheme="majorHAnsi" w:hAnsiTheme="majorHAnsi"/>
          <w:color w:val="333333" w:themeColor="background1"/>
          <w:u w:val="single"/>
        </w:rPr>
        <w:br/>
        <w:t xml:space="preserve">- Sandia/CESA Energy Storage Technology Advancement Partnership (ESTAP) </w:t>
      </w:r>
      <w:r w:rsidRPr="00F041AD">
        <w:rPr>
          <w:rFonts w:asciiTheme="majorHAnsi" w:hAnsiTheme="majorHAnsi"/>
          <w:color w:val="333333" w:themeColor="background1"/>
          <w:u w:val="single"/>
        </w:rPr>
        <w:br/>
        <w:t>- Xcel Energy</w:t>
      </w:r>
      <w:r w:rsidRPr="00F041AD">
        <w:rPr>
          <w:rFonts w:asciiTheme="majorHAnsi" w:hAnsiTheme="majorHAnsi"/>
          <w:color w:val="333333" w:themeColor="background1"/>
          <w:u w:val="single"/>
        </w:rPr>
        <w:br/>
        <w:t>- Minnesota Department of Commerce</w:t>
      </w:r>
      <w:r w:rsidRPr="00F041AD">
        <w:rPr>
          <w:rFonts w:asciiTheme="majorHAnsi" w:hAnsiTheme="majorHAnsi"/>
          <w:color w:val="333333" w:themeColor="background1"/>
        </w:rPr>
        <w:t xml:space="preserve"> reviews the costs and benefits of demand response for inclusion in utility Conservation Improvement Programs.</w:t>
      </w:r>
      <w:r w:rsidRPr="00F041AD">
        <w:rPr>
          <w:rFonts w:asciiTheme="majorHAnsi" w:hAnsiTheme="majorHAnsi"/>
          <w:color w:val="333333" w:themeColor="background1"/>
          <w:u w:val="single"/>
        </w:rPr>
        <w:t xml:space="preserve">  </w:t>
      </w:r>
      <w:r w:rsidRPr="00F041AD">
        <w:rPr>
          <w:rFonts w:asciiTheme="majorHAnsi" w:hAnsiTheme="majorHAnsi"/>
          <w:color w:val="333333" w:themeColor="background1"/>
          <w:u w:val="single"/>
        </w:rPr>
        <w:br/>
        <w:t>- Minnesota Public Utilities Commission</w:t>
      </w:r>
    </w:p>
    <w:p w14:paraId="597FD8EF" w14:textId="77777777" w:rsidR="00B65A50" w:rsidRPr="00F041AD" w:rsidRDefault="00B65A50" w:rsidP="00B37CBA">
      <w:pPr>
        <w:pStyle w:val="5BodyText"/>
        <w:rPr>
          <w:b/>
          <w:i/>
          <w:color w:val="333333" w:themeColor="background1"/>
        </w:rPr>
      </w:pPr>
    </w:p>
    <w:p w14:paraId="20FF2AEE" w14:textId="49DC2C81" w:rsidR="00B65A50" w:rsidRPr="00F041AD" w:rsidRDefault="00B65A50" w:rsidP="00B37CBA">
      <w:pPr>
        <w:pStyle w:val="5BodyText"/>
        <w:rPr>
          <w:b/>
          <w:i/>
          <w:color w:val="333333" w:themeColor="background1"/>
        </w:rPr>
      </w:pPr>
      <w:r w:rsidRPr="00F041AD">
        <w:rPr>
          <w:b/>
          <w:i/>
          <w:color w:val="333333" w:themeColor="background1"/>
        </w:rPr>
        <w:t>Success factors</w:t>
      </w:r>
    </w:p>
    <w:p w14:paraId="33629C62" w14:textId="77777777" w:rsidR="00B65A50" w:rsidRPr="00F041AD" w:rsidRDefault="00B65A50" w:rsidP="00A7299A">
      <w:pPr>
        <w:pStyle w:val="5BodyText"/>
        <w:numPr>
          <w:ilvl w:val="0"/>
          <w:numId w:val="37"/>
        </w:numPr>
        <w:rPr>
          <w:color w:val="333333" w:themeColor="background1"/>
        </w:rPr>
      </w:pPr>
      <w:r w:rsidRPr="00F041AD">
        <w:rPr>
          <w:b/>
          <w:color w:val="333333" w:themeColor="background1"/>
        </w:rPr>
        <w:t xml:space="preserve">Storage and DR projects capture multiple value streams. </w:t>
      </w:r>
      <w:r w:rsidRPr="00F041AD">
        <w:rPr>
          <w:color w:val="333333" w:themeColor="background1"/>
        </w:rPr>
        <w:t xml:space="preserve">Storage, at today’s prices, may not make economic sense if it only provides a single service to customers, utilities, or the grid. The overall value of projects will increase if they are designed to provide multiple benefits, e.g. deferring generation and/or distribution infrastructure, smoothing power prices and/or renewable output, demand charge savings for utilities and customers, and </w:t>
      </w:r>
      <w:proofErr w:type="spellStart"/>
      <w:r w:rsidRPr="00F041AD">
        <w:rPr>
          <w:color w:val="333333" w:themeColor="background1"/>
        </w:rPr>
        <w:t>back up</w:t>
      </w:r>
      <w:proofErr w:type="spellEnd"/>
      <w:r w:rsidRPr="00F041AD">
        <w:rPr>
          <w:color w:val="333333" w:themeColor="background1"/>
        </w:rPr>
        <w:t xml:space="preserve"> power.</w:t>
      </w:r>
      <w:r w:rsidRPr="00F041AD">
        <w:rPr>
          <w:color w:val="333333" w:themeColor="background1"/>
        </w:rPr>
        <w:br/>
      </w:r>
    </w:p>
    <w:p w14:paraId="69162AA6" w14:textId="168B429B" w:rsidR="00B65A50" w:rsidRPr="00F041AD" w:rsidRDefault="00B65A50" w:rsidP="00A7299A">
      <w:pPr>
        <w:pStyle w:val="5BodyText"/>
        <w:numPr>
          <w:ilvl w:val="0"/>
          <w:numId w:val="37"/>
        </w:numPr>
        <w:rPr>
          <w:b/>
          <w:color w:val="333333" w:themeColor="background1"/>
        </w:rPr>
      </w:pPr>
      <w:r w:rsidRPr="00F041AD">
        <w:rPr>
          <w:b/>
          <w:color w:val="333333" w:themeColor="background1"/>
        </w:rPr>
        <w:t xml:space="preserve">Thermal energy storage is considered a viable form of storage or DR. </w:t>
      </w:r>
      <w:r w:rsidRPr="00F041AD">
        <w:rPr>
          <w:color w:val="333333" w:themeColor="background1"/>
        </w:rPr>
        <w:t>The storage potential of thermal loads in homes and businesses, such as water heaters, is already being successfully leveraged by Minnesota utilities to provide benefits, such as using lower-priced nighttime energy, at low cost. Utility deployment of advanced distribution management systems may unlock additional capability for thermal storage to provide grid interactive services to support power quality.</w:t>
      </w:r>
    </w:p>
    <w:p w14:paraId="781E9F8F" w14:textId="77777777" w:rsidR="00B65A50" w:rsidRPr="00F041AD" w:rsidRDefault="00B65A50" w:rsidP="00B37CBA">
      <w:pPr>
        <w:pStyle w:val="5BodyText"/>
        <w:rPr>
          <w:b/>
          <w:i/>
          <w:color w:val="333333" w:themeColor="background1"/>
        </w:rPr>
      </w:pPr>
    </w:p>
    <w:p w14:paraId="1EA43EEF" w14:textId="46D0A6AE" w:rsidR="00B65A50" w:rsidRPr="00F041AD" w:rsidRDefault="00B65A50" w:rsidP="00B37CBA">
      <w:pPr>
        <w:pStyle w:val="5BodyText"/>
        <w:rPr>
          <w:b/>
          <w:i/>
          <w:color w:val="333333" w:themeColor="background1"/>
        </w:rPr>
      </w:pPr>
      <w:r w:rsidRPr="00F041AD">
        <w:rPr>
          <w:b/>
          <w:i/>
          <w:color w:val="333333" w:themeColor="background1"/>
        </w:rPr>
        <w:t>Indicators of strategy success</w:t>
      </w:r>
    </w:p>
    <w:p w14:paraId="2DF8D6BE" w14:textId="77777777" w:rsidR="00B65A50" w:rsidRPr="00F041AD" w:rsidRDefault="00B65A50" w:rsidP="00A7299A">
      <w:pPr>
        <w:pStyle w:val="5BodyText"/>
        <w:numPr>
          <w:ilvl w:val="0"/>
          <w:numId w:val="38"/>
        </w:numPr>
        <w:rPr>
          <w:color w:val="333333" w:themeColor="background1"/>
        </w:rPr>
      </w:pPr>
      <w:r w:rsidRPr="00F041AD">
        <w:rPr>
          <w:color w:val="333333" w:themeColor="background1"/>
        </w:rPr>
        <w:lastRenderedPageBreak/>
        <w:t>Number and capacity (MW and MWh) of energy storage and demand response resources by type in Minnesota</w:t>
      </w:r>
    </w:p>
    <w:p w14:paraId="3E531030" w14:textId="77777777" w:rsidR="00B65A50" w:rsidRPr="00F041AD" w:rsidRDefault="00B65A50" w:rsidP="00A7299A">
      <w:pPr>
        <w:pStyle w:val="5BodyText"/>
        <w:numPr>
          <w:ilvl w:val="0"/>
          <w:numId w:val="38"/>
        </w:numPr>
        <w:rPr>
          <w:color w:val="333333" w:themeColor="background1"/>
        </w:rPr>
      </w:pPr>
      <w:r w:rsidRPr="00F041AD">
        <w:rPr>
          <w:color w:val="333333" w:themeColor="background1"/>
        </w:rPr>
        <w:t>Number and capacity (MW and MWh) of energy storage and demand response resources participating in MISO market</w:t>
      </w:r>
    </w:p>
    <w:p w14:paraId="13A0E120" w14:textId="77777777" w:rsidR="00B65A50" w:rsidRPr="00F041AD" w:rsidRDefault="00B65A50" w:rsidP="00A7299A">
      <w:pPr>
        <w:pStyle w:val="5BodyText"/>
        <w:numPr>
          <w:ilvl w:val="0"/>
          <w:numId w:val="38"/>
        </w:numPr>
        <w:rPr>
          <w:color w:val="333333" w:themeColor="background1"/>
        </w:rPr>
      </w:pPr>
      <w:r w:rsidRPr="00F041AD">
        <w:rPr>
          <w:color w:val="333333" w:themeColor="background1"/>
        </w:rPr>
        <w:t>Value of savings compared to traditional built capacity solutions ($ per year)</w:t>
      </w:r>
    </w:p>
    <w:p w14:paraId="3D95916D" w14:textId="77777777" w:rsidR="00B65A50" w:rsidRPr="00F041AD" w:rsidRDefault="00B65A50" w:rsidP="00B37CBA">
      <w:pPr>
        <w:pStyle w:val="5BodyText"/>
        <w:rPr>
          <w:b/>
          <w:i/>
          <w:color w:val="333333" w:themeColor="background1"/>
        </w:rPr>
      </w:pPr>
    </w:p>
    <w:p w14:paraId="4D9747DD" w14:textId="60E63E62" w:rsidR="00B65A50" w:rsidRPr="00F041AD" w:rsidRDefault="00B65A50" w:rsidP="00B37CBA">
      <w:pPr>
        <w:pStyle w:val="5BodyText"/>
        <w:rPr>
          <w:b/>
          <w:i/>
          <w:color w:val="333333" w:themeColor="background1"/>
        </w:rPr>
      </w:pPr>
      <w:r w:rsidRPr="00F041AD">
        <w:rPr>
          <w:b/>
          <w:i/>
          <w:color w:val="333333" w:themeColor="background1"/>
        </w:rPr>
        <w:t>Cross-sector opportunities and synergies</w:t>
      </w:r>
    </w:p>
    <w:p w14:paraId="0B58A49D" w14:textId="77777777" w:rsidR="00B65A50" w:rsidRPr="00F041AD" w:rsidRDefault="00B65A50" w:rsidP="00A7299A">
      <w:pPr>
        <w:pStyle w:val="5BodyText"/>
        <w:numPr>
          <w:ilvl w:val="0"/>
          <w:numId w:val="39"/>
        </w:numPr>
        <w:rPr>
          <w:color w:val="333333" w:themeColor="background1"/>
        </w:rPr>
      </w:pPr>
      <w:r w:rsidRPr="00F041AD">
        <w:rPr>
          <w:color w:val="333333" w:themeColor="background1"/>
        </w:rPr>
        <w:t xml:space="preserve">Potential for combination with </w:t>
      </w:r>
      <w:r w:rsidRPr="00F041AD">
        <w:rPr>
          <w:b/>
          <w:color w:val="333333" w:themeColor="background1"/>
        </w:rPr>
        <w:t>smart inverter</w:t>
      </w:r>
      <w:r w:rsidRPr="00F041AD">
        <w:rPr>
          <w:color w:val="333333" w:themeColor="background1"/>
        </w:rPr>
        <w:t xml:space="preserve"> functionality to provide similar or complementary services.</w:t>
      </w:r>
    </w:p>
    <w:p w14:paraId="62AFDBB2" w14:textId="77777777" w:rsidR="00B65A50" w:rsidRPr="00F041AD" w:rsidRDefault="00B65A50" w:rsidP="00A7299A">
      <w:pPr>
        <w:pStyle w:val="5BodyText"/>
        <w:numPr>
          <w:ilvl w:val="0"/>
          <w:numId w:val="39"/>
        </w:numPr>
        <w:rPr>
          <w:b/>
          <w:color w:val="333333" w:themeColor="background1"/>
        </w:rPr>
      </w:pPr>
      <w:r w:rsidRPr="00F041AD">
        <w:rPr>
          <w:b/>
          <w:color w:val="333333" w:themeColor="background1"/>
        </w:rPr>
        <w:t>Time-based rates</w:t>
      </w:r>
      <w:r w:rsidRPr="00F041AD">
        <w:rPr>
          <w:color w:val="333333" w:themeColor="background1"/>
        </w:rPr>
        <w:t xml:space="preserve"> can help incent storage and DR by increasing the customer benefits of having flexible load.</w:t>
      </w:r>
    </w:p>
    <w:p w14:paraId="0F8C3281" w14:textId="77777777" w:rsidR="00B65A50" w:rsidRPr="00F041AD" w:rsidRDefault="00B65A50" w:rsidP="00A7299A">
      <w:pPr>
        <w:pStyle w:val="5BodyText"/>
        <w:numPr>
          <w:ilvl w:val="0"/>
          <w:numId w:val="39"/>
        </w:numPr>
        <w:rPr>
          <w:b/>
          <w:color w:val="333333" w:themeColor="background1"/>
        </w:rPr>
      </w:pPr>
      <w:r w:rsidRPr="00F041AD">
        <w:rPr>
          <w:b/>
          <w:color w:val="333333" w:themeColor="background1"/>
        </w:rPr>
        <w:t>Electric vehicle</w:t>
      </w:r>
      <w:r w:rsidRPr="00F041AD">
        <w:rPr>
          <w:color w:val="333333" w:themeColor="background1"/>
        </w:rPr>
        <w:t xml:space="preserve"> charging can act as a form of energy storage and/or demand response, allowing vehicles to schedule and/or modulate their charging behavior and reduce costs on the grid.</w:t>
      </w:r>
    </w:p>
    <w:p w14:paraId="107A357D" w14:textId="77777777" w:rsidR="00B65A50" w:rsidRPr="00F041AD" w:rsidRDefault="00B65A50" w:rsidP="00A7299A">
      <w:pPr>
        <w:pStyle w:val="5BodyText"/>
        <w:numPr>
          <w:ilvl w:val="0"/>
          <w:numId w:val="39"/>
        </w:numPr>
        <w:rPr>
          <w:color w:val="333333" w:themeColor="background1"/>
        </w:rPr>
      </w:pPr>
      <w:r w:rsidRPr="00F041AD">
        <w:rPr>
          <w:b/>
          <w:color w:val="333333" w:themeColor="background1"/>
        </w:rPr>
        <w:t xml:space="preserve">Improved building operations </w:t>
      </w:r>
      <w:r w:rsidRPr="00F041AD">
        <w:rPr>
          <w:color w:val="333333" w:themeColor="background1"/>
        </w:rPr>
        <w:t xml:space="preserve">are a key component of a successful demand response strategy.  </w:t>
      </w:r>
    </w:p>
    <w:p w14:paraId="3B62BFD9" w14:textId="77777777" w:rsidR="00B65A50" w:rsidRPr="00F041AD" w:rsidRDefault="00B65A50" w:rsidP="00A7299A">
      <w:pPr>
        <w:pStyle w:val="5BodyText"/>
        <w:numPr>
          <w:ilvl w:val="0"/>
          <w:numId w:val="39"/>
        </w:numPr>
        <w:rPr>
          <w:b/>
          <w:color w:val="333333" w:themeColor="background1"/>
        </w:rPr>
      </w:pPr>
      <w:r w:rsidRPr="00F041AD">
        <w:rPr>
          <w:b/>
          <w:color w:val="333333" w:themeColor="background1"/>
        </w:rPr>
        <w:t xml:space="preserve">Advanced Metering Infrastructure </w:t>
      </w:r>
      <w:r w:rsidRPr="00F041AD">
        <w:rPr>
          <w:color w:val="333333" w:themeColor="background1"/>
        </w:rPr>
        <w:t>can support enhanced demand response and energy storage functions.</w:t>
      </w:r>
    </w:p>
    <w:p w14:paraId="226B5996" w14:textId="77777777" w:rsidR="00B65A50" w:rsidRPr="00F041AD" w:rsidRDefault="00B65A50" w:rsidP="00B37CBA">
      <w:pPr>
        <w:pStyle w:val="5BodyText"/>
        <w:rPr>
          <w:b/>
          <w:i/>
          <w:color w:val="333333" w:themeColor="background1"/>
        </w:rPr>
      </w:pPr>
    </w:p>
    <w:p w14:paraId="7BF41D86" w14:textId="0DDFDD32" w:rsidR="00B65A50" w:rsidRPr="00F041AD" w:rsidRDefault="00B65A50" w:rsidP="00B37CBA">
      <w:pPr>
        <w:pStyle w:val="5BodyText"/>
        <w:rPr>
          <w:b/>
          <w:i/>
          <w:color w:val="333333" w:themeColor="background1"/>
        </w:rPr>
      </w:pPr>
      <w:r w:rsidRPr="00F041AD">
        <w:rPr>
          <w:b/>
          <w:i/>
          <w:color w:val="333333" w:themeColor="background1"/>
        </w:rPr>
        <w:t>Ongoing Minnesota initiatives</w:t>
      </w:r>
    </w:p>
    <w:p w14:paraId="67EB8E10" w14:textId="1FA08F8A" w:rsidR="00B65A50" w:rsidRPr="00F041AD" w:rsidRDefault="00B65A50" w:rsidP="00A7299A">
      <w:pPr>
        <w:pStyle w:val="5BodyText"/>
        <w:numPr>
          <w:ilvl w:val="0"/>
          <w:numId w:val="40"/>
        </w:numPr>
        <w:rPr>
          <w:rFonts w:asciiTheme="majorHAnsi" w:hAnsiTheme="majorHAnsi"/>
          <w:color w:val="333333" w:themeColor="background1"/>
        </w:rPr>
      </w:pPr>
      <w:r w:rsidRPr="00F041AD">
        <w:rPr>
          <w:rFonts w:asciiTheme="majorHAnsi" w:hAnsiTheme="majorHAnsi"/>
          <w:color w:val="333333" w:themeColor="background1"/>
        </w:rPr>
        <w:t xml:space="preserve">Xcel Belle </w:t>
      </w:r>
      <w:proofErr w:type="spellStart"/>
      <w:r w:rsidRPr="00F041AD">
        <w:rPr>
          <w:rFonts w:asciiTheme="majorHAnsi" w:hAnsiTheme="majorHAnsi"/>
          <w:color w:val="333333" w:themeColor="background1"/>
        </w:rPr>
        <w:t>Plaine</w:t>
      </w:r>
      <w:proofErr w:type="spellEnd"/>
      <w:r w:rsidRPr="00F041AD">
        <w:rPr>
          <w:rFonts w:asciiTheme="majorHAnsi" w:hAnsiTheme="majorHAnsi"/>
          <w:color w:val="333333" w:themeColor="background1"/>
        </w:rPr>
        <w:t xml:space="preserve"> Battery Storage proposal in</w:t>
      </w:r>
      <w:hyperlink r:id="rId80">
        <w:r w:rsidRPr="00F041AD">
          <w:rPr>
            <w:rFonts w:asciiTheme="majorHAnsi" w:hAnsiTheme="majorHAnsi"/>
            <w:color w:val="333333" w:themeColor="background1"/>
          </w:rPr>
          <w:t xml:space="preserve"> </w:t>
        </w:r>
      </w:hyperlink>
      <w:hyperlink r:id="rId81">
        <w:r w:rsidRPr="00F041AD">
          <w:rPr>
            <w:rFonts w:asciiTheme="majorHAnsi" w:hAnsiTheme="majorHAnsi"/>
            <w:color w:val="333333" w:themeColor="background1"/>
            <w:u w:val="single"/>
          </w:rPr>
          <w:t>Grid Modernization filing</w:t>
        </w:r>
      </w:hyperlink>
      <w:r w:rsidRPr="00F041AD">
        <w:rPr>
          <w:rFonts w:asciiTheme="majorHAnsi" w:hAnsiTheme="majorHAnsi"/>
          <w:color w:val="333333" w:themeColor="background1"/>
        </w:rPr>
        <w:t xml:space="preserve"> (docket</w:t>
      </w:r>
      <w:hyperlink r:id="rId82">
        <w:r w:rsidRPr="00F041AD">
          <w:rPr>
            <w:rFonts w:asciiTheme="majorHAnsi" w:hAnsiTheme="majorHAnsi"/>
            <w:color w:val="333333" w:themeColor="background1"/>
          </w:rPr>
          <w:t xml:space="preserve"> </w:t>
        </w:r>
      </w:hyperlink>
      <w:hyperlink r:id="rId83">
        <w:r w:rsidRPr="00F041AD">
          <w:rPr>
            <w:rFonts w:asciiTheme="majorHAnsi" w:hAnsiTheme="majorHAnsi"/>
            <w:color w:val="333333" w:themeColor="background1"/>
            <w:u w:val="single"/>
          </w:rPr>
          <w:t>15-962</w:t>
        </w:r>
      </w:hyperlink>
      <w:r w:rsidRPr="00F041AD">
        <w:rPr>
          <w:rFonts w:asciiTheme="majorHAnsi" w:hAnsiTheme="majorHAnsi"/>
          <w:color w:val="333333" w:themeColor="background1"/>
        </w:rPr>
        <w:t>)</w:t>
      </w:r>
      <w:r w:rsidRPr="00F041AD">
        <w:rPr>
          <w:rStyle w:val="EndnoteReference"/>
          <w:rFonts w:asciiTheme="majorHAnsi" w:hAnsiTheme="majorHAnsi"/>
          <w:color w:val="333333" w:themeColor="background1"/>
        </w:rPr>
        <w:endnoteReference w:id="131"/>
      </w:r>
    </w:p>
    <w:p w14:paraId="52B5EBC1" w14:textId="77777777" w:rsidR="00B65A50" w:rsidRPr="00F041AD" w:rsidRDefault="00B65A50" w:rsidP="00663C1D">
      <w:pPr>
        <w:pStyle w:val="5BodyText"/>
        <w:rPr>
          <w:rFonts w:asciiTheme="majorHAnsi" w:hAnsiTheme="majorHAnsi"/>
          <w:color w:val="333333" w:themeColor="background1"/>
        </w:rPr>
      </w:pPr>
    </w:p>
    <w:p w14:paraId="28223331" w14:textId="77777777" w:rsidR="00B65A50" w:rsidRPr="00F041AD" w:rsidRDefault="00B65A50" w:rsidP="00A7299A">
      <w:pPr>
        <w:pStyle w:val="5BodyText"/>
        <w:numPr>
          <w:ilvl w:val="0"/>
          <w:numId w:val="40"/>
        </w:numPr>
        <w:rPr>
          <w:rFonts w:asciiTheme="majorHAnsi" w:hAnsiTheme="majorHAnsi"/>
          <w:color w:val="333333" w:themeColor="background1"/>
        </w:rPr>
      </w:pPr>
      <w:r w:rsidRPr="00F041AD">
        <w:rPr>
          <w:rFonts w:asciiTheme="majorHAnsi" w:hAnsiTheme="majorHAnsi"/>
          <w:color w:val="333333" w:themeColor="background1"/>
        </w:rPr>
        <w:t xml:space="preserve">In July 2015, the Energy Transition Lab at University of Minnesota hosted the Energy Storage Summit, where national and local experts investigated the market drivers affecting energy storage in Minnesota. The </w:t>
      </w:r>
      <w:hyperlink r:id="rId84">
        <w:r w:rsidRPr="00F041AD">
          <w:rPr>
            <w:rFonts w:asciiTheme="majorHAnsi" w:hAnsiTheme="majorHAnsi"/>
            <w:color w:val="333333" w:themeColor="background1"/>
            <w:u w:val="single"/>
          </w:rPr>
          <w:t>Energy Storage 101</w:t>
        </w:r>
      </w:hyperlink>
      <w:r w:rsidRPr="00F041AD">
        <w:rPr>
          <w:rFonts w:asciiTheme="majorHAnsi" w:hAnsiTheme="majorHAnsi"/>
          <w:color w:val="333333" w:themeColor="background1"/>
        </w:rPr>
        <w:t xml:space="preserve"> document from the summit is a reference handbook, and </w:t>
      </w:r>
      <w:hyperlink r:id="rId85" w:history="1">
        <w:r w:rsidRPr="00F041AD">
          <w:rPr>
            <w:rStyle w:val="Hyperlink"/>
            <w:rFonts w:asciiTheme="majorHAnsi" w:hAnsiTheme="majorHAnsi"/>
            <w:color w:val="333333" w:themeColor="background1"/>
          </w:rPr>
          <w:t>additional videos and presentations</w:t>
        </w:r>
      </w:hyperlink>
      <w:r w:rsidRPr="00F041AD">
        <w:rPr>
          <w:rFonts w:asciiTheme="majorHAnsi" w:hAnsiTheme="majorHAnsi"/>
          <w:color w:val="333333" w:themeColor="background1"/>
        </w:rPr>
        <w:t xml:space="preserve"> are available online.</w:t>
      </w:r>
      <w:r w:rsidRPr="00F041AD">
        <w:rPr>
          <w:rStyle w:val="EndnoteReference"/>
          <w:rFonts w:asciiTheme="majorHAnsi" w:hAnsiTheme="majorHAnsi"/>
          <w:color w:val="333333" w:themeColor="background1"/>
        </w:rPr>
        <w:endnoteReference w:id="132"/>
      </w:r>
    </w:p>
    <w:p w14:paraId="43129DBE" w14:textId="77777777" w:rsidR="00B65A50" w:rsidRPr="00F041AD" w:rsidRDefault="00B65A50" w:rsidP="00663C1D">
      <w:pPr>
        <w:pStyle w:val="5BodyText"/>
        <w:rPr>
          <w:rFonts w:asciiTheme="majorHAnsi" w:hAnsiTheme="majorHAnsi"/>
          <w:color w:val="333333" w:themeColor="background1"/>
        </w:rPr>
      </w:pPr>
    </w:p>
    <w:p w14:paraId="3C3A4BAE" w14:textId="29DA511D" w:rsidR="00B65A50" w:rsidRPr="00F041AD" w:rsidRDefault="00B65A50" w:rsidP="00A7299A">
      <w:pPr>
        <w:pStyle w:val="5BodyText"/>
        <w:numPr>
          <w:ilvl w:val="0"/>
          <w:numId w:val="40"/>
        </w:numPr>
        <w:rPr>
          <w:rFonts w:asciiTheme="majorHAnsi" w:hAnsiTheme="majorHAnsi"/>
          <w:color w:val="333333" w:themeColor="background1"/>
        </w:rPr>
      </w:pPr>
      <w:r w:rsidRPr="00F041AD">
        <w:rPr>
          <w:rFonts w:asciiTheme="majorHAnsi" w:hAnsiTheme="majorHAnsi"/>
          <w:color w:val="333333" w:themeColor="background1"/>
        </w:rPr>
        <w:t xml:space="preserve">Center for Energy and Environment has proposed a project for the 2016 Legislative-Citizen Commission on Minnesota Resources funding for a </w:t>
      </w:r>
      <w:hyperlink r:id="rId86" w:history="1">
        <w:proofErr w:type="spellStart"/>
        <w:r w:rsidRPr="00F041AD">
          <w:rPr>
            <w:rStyle w:val="Hyperlink"/>
            <w:rFonts w:asciiTheme="majorHAnsi" w:hAnsiTheme="majorHAnsi"/>
            <w:color w:val="333333" w:themeColor="background1"/>
          </w:rPr>
          <w:t>Geotargeted</w:t>
        </w:r>
        <w:proofErr w:type="spellEnd"/>
        <w:r w:rsidRPr="00F041AD">
          <w:rPr>
            <w:rStyle w:val="Hyperlink"/>
            <w:rFonts w:asciiTheme="majorHAnsi" w:hAnsiTheme="majorHAnsi"/>
            <w:color w:val="333333" w:themeColor="background1"/>
          </w:rPr>
          <w:t xml:space="preserve"> Distributed Clean Energy Initiative</w:t>
        </w:r>
      </w:hyperlink>
      <w:r w:rsidRPr="00F041AD">
        <w:rPr>
          <w:rFonts w:asciiTheme="majorHAnsi" w:hAnsiTheme="majorHAnsi"/>
          <w:color w:val="333333" w:themeColor="background1"/>
        </w:rPr>
        <w:t xml:space="preserve"> in partnership with Xcel energy. The project will determine the potential for geographically targeted clean, distributed energy resources to defer utility infrastructure investments.</w:t>
      </w:r>
      <w:r w:rsidRPr="00F041AD">
        <w:rPr>
          <w:rStyle w:val="EndnoteReference"/>
          <w:rFonts w:asciiTheme="majorHAnsi" w:hAnsiTheme="majorHAnsi"/>
          <w:color w:val="333333" w:themeColor="background1"/>
        </w:rPr>
        <w:endnoteReference w:id="133"/>
      </w:r>
    </w:p>
    <w:p w14:paraId="23761AE5" w14:textId="77777777" w:rsidR="00B65A50" w:rsidRPr="00F041AD" w:rsidRDefault="00B65A50" w:rsidP="00663C1D">
      <w:pPr>
        <w:pStyle w:val="5BodyText"/>
        <w:rPr>
          <w:rFonts w:asciiTheme="majorHAnsi" w:hAnsiTheme="majorHAnsi"/>
          <w:color w:val="333333" w:themeColor="background1"/>
        </w:rPr>
      </w:pPr>
    </w:p>
    <w:p w14:paraId="04F27E04" w14:textId="77777777" w:rsidR="00B65A50" w:rsidRPr="00F041AD" w:rsidRDefault="00B65A50" w:rsidP="00A7299A">
      <w:pPr>
        <w:pStyle w:val="5BodyText"/>
        <w:numPr>
          <w:ilvl w:val="0"/>
          <w:numId w:val="40"/>
        </w:numPr>
        <w:rPr>
          <w:rFonts w:asciiTheme="majorHAnsi" w:hAnsiTheme="majorHAnsi"/>
          <w:color w:val="333333" w:themeColor="background1"/>
        </w:rPr>
      </w:pPr>
      <w:proofErr w:type="spellStart"/>
      <w:r w:rsidRPr="00F041AD">
        <w:rPr>
          <w:rFonts w:asciiTheme="majorHAnsi" w:hAnsiTheme="majorHAnsi"/>
          <w:color w:val="333333" w:themeColor="background1"/>
        </w:rPr>
        <w:t>Strategen</w:t>
      </w:r>
      <w:proofErr w:type="spellEnd"/>
      <w:r w:rsidRPr="00F041AD">
        <w:rPr>
          <w:rFonts w:asciiTheme="majorHAnsi" w:hAnsiTheme="majorHAnsi"/>
          <w:color w:val="333333" w:themeColor="background1"/>
        </w:rPr>
        <w:t xml:space="preserve"> Consulting and Electric Power Resource Institute’s </w:t>
      </w:r>
      <w:hyperlink r:id="rId87">
        <w:r w:rsidRPr="00F041AD">
          <w:rPr>
            <w:rFonts w:asciiTheme="majorHAnsi" w:hAnsiTheme="majorHAnsi"/>
            <w:color w:val="333333" w:themeColor="background1"/>
            <w:u w:val="single"/>
          </w:rPr>
          <w:t>White Paper “Analysis of Utility-Managed, On-Site Energy Storage in Minnesota</w:t>
        </w:r>
      </w:hyperlink>
      <w:r w:rsidRPr="00F041AD">
        <w:rPr>
          <w:rFonts w:asciiTheme="majorHAnsi" w:hAnsiTheme="majorHAnsi"/>
          <w:color w:val="333333" w:themeColor="background1"/>
          <w:u w:val="single"/>
        </w:rPr>
        <w:t xml:space="preserve">” </w:t>
      </w:r>
      <w:r w:rsidRPr="00F041AD">
        <w:rPr>
          <w:rFonts w:asciiTheme="majorHAnsi" w:eastAsia="Times New Roman" w:hAnsiTheme="majorHAnsi" w:cs="Times New Roman"/>
          <w:color w:val="333333" w:themeColor="background1"/>
        </w:rPr>
        <w:t>investigates the potential costs and benefits of customer-sited, grid-connected electrical energy storage technology.</w:t>
      </w:r>
      <w:r w:rsidRPr="00F041AD">
        <w:rPr>
          <w:rStyle w:val="EndnoteReference"/>
          <w:rFonts w:asciiTheme="majorHAnsi" w:hAnsiTheme="majorHAnsi"/>
          <w:color w:val="333333" w:themeColor="background1"/>
          <w:u w:val="single"/>
        </w:rPr>
        <w:endnoteReference w:id="134"/>
      </w:r>
      <w:r w:rsidRPr="00F041AD">
        <w:rPr>
          <w:rFonts w:asciiTheme="majorHAnsi" w:hAnsiTheme="majorHAnsi"/>
          <w:color w:val="333333" w:themeColor="background1"/>
        </w:rPr>
        <w:t xml:space="preserve"> </w:t>
      </w:r>
    </w:p>
    <w:p w14:paraId="65D9031E" w14:textId="77777777" w:rsidR="00B65A50" w:rsidRPr="00F041AD" w:rsidRDefault="00B65A50" w:rsidP="00663C1D">
      <w:pPr>
        <w:pStyle w:val="5BodyText"/>
        <w:rPr>
          <w:rFonts w:asciiTheme="majorHAnsi" w:hAnsiTheme="majorHAnsi"/>
          <w:color w:val="333333" w:themeColor="background1"/>
        </w:rPr>
      </w:pPr>
    </w:p>
    <w:p w14:paraId="5159816B" w14:textId="77777777" w:rsidR="00B65A50" w:rsidRPr="00F041AD" w:rsidRDefault="00B65A50" w:rsidP="00A7299A">
      <w:pPr>
        <w:pStyle w:val="5BodyText"/>
        <w:numPr>
          <w:ilvl w:val="0"/>
          <w:numId w:val="40"/>
        </w:numPr>
        <w:rPr>
          <w:rStyle w:val="Hyperlink"/>
          <w:rFonts w:asciiTheme="majorHAnsi" w:hAnsiTheme="majorHAnsi"/>
          <w:color w:val="333333" w:themeColor="background1"/>
        </w:rPr>
      </w:pPr>
      <w:r w:rsidRPr="00F041AD">
        <w:rPr>
          <w:rFonts w:asciiTheme="majorHAnsi" w:hAnsiTheme="majorHAnsi"/>
          <w:color w:val="333333" w:themeColor="background1"/>
        </w:rPr>
        <w:t xml:space="preserve">The Legislative Energy Commission’s November 2015 meeting on energy storage included </w:t>
      </w:r>
      <w:hyperlink r:id="rId88">
        <w:r w:rsidRPr="00F041AD">
          <w:rPr>
            <w:rFonts w:asciiTheme="majorHAnsi" w:hAnsiTheme="majorHAnsi"/>
            <w:color w:val="333333" w:themeColor="background1"/>
            <w:u w:val="single"/>
          </w:rPr>
          <w:t>presentations</w:t>
        </w:r>
      </w:hyperlink>
      <w:r w:rsidRPr="00F041AD">
        <w:rPr>
          <w:rFonts w:asciiTheme="majorHAnsi" w:hAnsiTheme="majorHAnsi"/>
          <w:color w:val="333333" w:themeColor="background1"/>
          <w:u w:val="single"/>
        </w:rPr>
        <w:t xml:space="preserve"> from industry experts.</w:t>
      </w:r>
      <w:r w:rsidRPr="00F041AD">
        <w:rPr>
          <w:rStyle w:val="EndnoteReference"/>
          <w:rFonts w:asciiTheme="majorHAnsi" w:hAnsiTheme="majorHAnsi"/>
          <w:color w:val="333333" w:themeColor="background1"/>
          <w:u w:val="single"/>
        </w:rPr>
        <w:endnoteReference w:id="135"/>
      </w:r>
    </w:p>
    <w:p w14:paraId="71C6D8CF" w14:textId="77777777" w:rsidR="00B65A50" w:rsidRPr="00F041AD" w:rsidRDefault="00B65A50" w:rsidP="00663C1D">
      <w:pPr>
        <w:pStyle w:val="5BodyText"/>
        <w:rPr>
          <w:rFonts w:asciiTheme="majorHAnsi" w:hAnsiTheme="majorHAnsi"/>
          <w:color w:val="333333" w:themeColor="background1"/>
        </w:rPr>
      </w:pPr>
    </w:p>
    <w:p w14:paraId="74786F76" w14:textId="77777777" w:rsidR="00B65A50" w:rsidRPr="00F041AD" w:rsidRDefault="00B65A50" w:rsidP="00A7299A">
      <w:pPr>
        <w:pStyle w:val="5BodyText"/>
        <w:numPr>
          <w:ilvl w:val="0"/>
          <w:numId w:val="40"/>
        </w:numPr>
        <w:rPr>
          <w:rFonts w:asciiTheme="majorHAnsi" w:hAnsiTheme="majorHAnsi"/>
          <w:color w:val="333333" w:themeColor="background1"/>
        </w:rPr>
      </w:pPr>
      <w:r w:rsidRPr="00F041AD">
        <w:rPr>
          <w:rFonts w:asciiTheme="majorHAnsi" w:hAnsiTheme="majorHAnsi"/>
          <w:color w:val="333333" w:themeColor="background1"/>
        </w:rPr>
        <w:t xml:space="preserve">The </w:t>
      </w:r>
      <w:proofErr w:type="spellStart"/>
      <w:r w:rsidRPr="00F041AD">
        <w:rPr>
          <w:rFonts w:asciiTheme="majorHAnsi" w:hAnsiTheme="majorHAnsi"/>
          <w:color w:val="333333" w:themeColor="background1"/>
        </w:rPr>
        <w:t>Microgrid</w:t>
      </w:r>
      <w:proofErr w:type="spellEnd"/>
      <w:r w:rsidRPr="00F041AD">
        <w:rPr>
          <w:rFonts w:asciiTheme="majorHAnsi" w:hAnsiTheme="majorHAnsi"/>
          <w:color w:val="333333" w:themeColor="background1"/>
        </w:rPr>
        <w:t xml:space="preserve"> Institute’s white paper,</w:t>
      </w:r>
      <w:hyperlink r:id="rId89">
        <w:r w:rsidRPr="00F041AD">
          <w:rPr>
            <w:rFonts w:asciiTheme="majorHAnsi" w:hAnsiTheme="majorHAnsi"/>
            <w:color w:val="333333" w:themeColor="background1"/>
          </w:rPr>
          <w:t xml:space="preserve"> </w:t>
        </w:r>
      </w:hyperlink>
      <w:r w:rsidRPr="00F041AD">
        <w:rPr>
          <w:rFonts w:asciiTheme="majorHAnsi" w:hAnsiTheme="majorHAnsi"/>
          <w:color w:val="333333" w:themeColor="background1"/>
        </w:rPr>
        <w:t>“</w:t>
      </w:r>
      <w:hyperlink r:id="rId90">
        <w:r w:rsidRPr="00F041AD">
          <w:rPr>
            <w:rFonts w:asciiTheme="majorHAnsi" w:hAnsiTheme="majorHAnsi"/>
            <w:color w:val="333333" w:themeColor="background1"/>
            <w:u w:val="single"/>
          </w:rPr>
          <w:t xml:space="preserve">Minnesota </w:t>
        </w:r>
        <w:proofErr w:type="spellStart"/>
        <w:r w:rsidRPr="00F041AD">
          <w:rPr>
            <w:rFonts w:asciiTheme="majorHAnsi" w:hAnsiTheme="majorHAnsi"/>
            <w:color w:val="333333" w:themeColor="background1"/>
            <w:u w:val="single"/>
          </w:rPr>
          <w:t>Microgrids</w:t>
        </w:r>
        <w:proofErr w:type="spellEnd"/>
        <w:r w:rsidRPr="00F041AD">
          <w:rPr>
            <w:rFonts w:asciiTheme="majorHAnsi" w:hAnsiTheme="majorHAnsi"/>
            <w:color w:val="333333" w:themeColor="background1"/>
            <w:u w:val="single"/>
          </w:rPr>
          <w:t>: Barriers, Opportunities, and Pathways Toward Energy Assurance</w:t>
        </w:r>
      </w:hyperlink>
      <w:r w:rsidRPr="00F041AD">
        <w:rPr>
          <w:rFonts w:asciiTheme="majorHAnsi" w:hAnsiTheme="majorHAnsi"/>
          <w:color w:val="333333" w:themeColor="background1"/>
          <w:u w:val="single"/>
        </w:rPr>
        <w:t>,</w:t>
      </w:r>
      <w:r w:rsidRPr="00F041AD">
        <w:rPr>
          <w:rFonts w:asciiTheme="majorHAnsi" w:hAnsiTheme="majorHAnsi"/>
          <w:color w:val="333333" w:themeColor="background1"/>
        </w:rPr>
        <w:t xml:space="preserve">” identifies regulatory barriers and opportunities for </w:t>
      </w:r>
      <w:proofErr w:type="spellStart"/>
      <w:r w:rsidRPr="00F041AD">
        <w:rPr>
          <w:rFonts w:asciiTheme="majorHAnsi" w:hAnsiTheme="majorHAnsi"/>
          <w:color w:val="333333" w:themeColor="background1"/>
        </w:rPr>
        <w:t>microgrid</w:t>
      </w:r>
      <w:proofErr w:type="spellEnd"/>
      <w:r w:rsidRPr="00F041AD">
        <w:rPr>
          <w:rFonts w:asciiTheme="majorHAnsi" w:hAnsiTheme="majorHAnsi"/>
          <w:color w:val="333333" w:themeColor="background1"/>
        </w:rPr>
        <w:t xml:space="preserve"> development in Minnesota.</w:t>
      </w:r>
      <w:r w:rsidRPr="00F041AD">
        <w:rPr>
          <w:rStyle w:val="EndnoteReference"/>
          <w:rFonts w:asciiTheme="majorHAnsi" w:hAnsiTheme="majorHAnsi"/>
          <w:color w:val="333333" w:themeColor="background1"/>
        </w:rPr>
        <w:endnoteReference w:id="136"/>
      </w:r>
    </w:p>
    <w:p w14:paraId="4B590238" w14:textId="77777777" w:rsidR="00B65A50" w:rsidRPr="00F041AD" w:rsidRDefault="00B65A50" w:rsidP="00663C1D">
      <w:pPr>
        <w:pStyle w:val="5BodyText"/>
        <w:rPr>
          <w:rFonts w:asciiTheme="majorHAnsi" w:hAnsiTheme="majorHAnsi"/>
          <w:color w:val="333333" w:themeColor="background1"/>
        </w:rPr>
      </w:pPr>
    </w:p>
    <w:p w14:paraId="30B6FE07" w14:textId="4230446B" w:rsidR="00B65A50" w:rsidRPr="00F041AD" w:rsidRDefault="00B65A50" w:rsidP="00A7299A">
      <w:pPr>
        <w:pStyle w:val="5BodyText"/>
        <w:numPr>
          <w:ilvl w:val="0"/>
          <w:numId w:val="40"/>
        </w:numPr>
        <w:rPr>
          <w:rStyle w:val="Hyperlink"/>
          <w:rFonts w:asciiTheme="majorHAnsi" w:hAnsiTheme="majorHAnsi"/>
          <w:color w:val="333333" w:themeColor="background1"/>
        </w:rPr>
      </w:pPr>
      <w:r w:rsidRPr="00F041AD">
        <w:rPr>
          <w:rFonts w:asciiTheme="majorHAnsi" w:hAnsiTheme="majorHAnsi"/>
          <w:color w:val="333333" w:themeColor="background1"/>
        </w:rPr>
        <w:t xml:space="preserve">Xcel RDF supported Research and Demonstration Project: </w:t>
      </w:r>
      <w:hyperlink r:id="rId91" w:history="1">
        <w:proofErr w:type="spellStart"/>
        <w:r w:rsidRPr="0010025D">
          <w:rPr>
            <w:rStyle w:val="Hyperlink"/>
            <w:rFonts w:asciiTheme="majorHAnsi" w:hAnsiTheme="majorHAnsi"/>
          </w:rPr>
          <w:t>Luverne</w:t>
        </w:r>
        <w:proofErr w:type="spellEnd"/>
        <w:r w:rsidRPr="0010025D">
          <w:rPr>
            <w:rStyle w:val="Hyperlink"/>
            <w:rFonts w:asciiTheme="majorHAnsi" w:hAnsiTheme="majorHAnsi"/>
          </w:rPr>
          <w:t xml:space="preserve"> Sodium Sulfur Battery Energy Storage Project</w:t>
        </w:r>
      </w:hyperlink>
      <w:r w:rsidRPr="00F041AD">
        <w:rPr>
          <w:rStyle w:val="Hyperlink"/>
          <w:rFonts w:asciiTheme="majorHAnsi" w:hAnsiTheme="majorHAnsi"/>
          <w:color w:val="333333" w:themeColor="background1"/>
        </w:rPr>
        <w:t>.</w:t>
      </w:r>
      <w:r w:rsidRPr="0010025D">
        <w:rPr>
          <w:rStyle w:val="EndnoteReference"/>
          <w:rFonts w:asciiTheme="majorHAnsi" w:hAnsiTheme="majorHAnsi"/>
          <w:color w:val="333333" w:themeColor="background1"/>
        </w:rPr>
        <w:endnoteReference w:id="137"/>
      </w:r>
    </w:p>
    <w:p w14:paraId="773C2AA8" w14:textId="77777777" w:rsidR="00B65A50" w:rsidRPr="00F041AD" w:rsidRDefault="00B65A50" w:rsidP="00663C1D">
      <w:pPr>
        <w:pStyle w:val="5BodyText"/>
        <w:rPr>
          <w:rStyle w:val="Hyperlink"/>
          <w:rFonts w:asciiTheme="majorHAnsi" w:hAnsiTheme="majorHAnsi"/>
          <w:color w:val="333333" w:themeColor="background1"/>
        </w:rPr>
      </w:pPr>
    </w:p>
    <w:p w14:paraId="5A3D603F" w14:textId="77777777" w:rsidR="00B65A50" w:rsidRPr="00F041AD" w:rsidRDefault="00B65A50" w:rsidP="00A7299A">
      <w:pPr>
        <w:pStyle w:val="5BodyText"/>
        <w:numPr>
          <w:ilvl w:val="0"/>
          <w:numId w:val="40"/>
        </w:numPr>
        <w:rPr>
          <w:rFonts w:asciiTheme="majorHAnsi" w:hAnsiTheme="majorHAnsi"/>
          <w:color w:val="333333" w:themeColor="background1"/>
        </w:rPr>
      </w:pPr>
      <w:r w:rsidRPr="00F041AD">
        <w:rPr>
          <w:rFonts w:asciiTheme="majorHAnsi" w:hAnsiTheme="majorHAnsi"/>
          <w:color w:val="333333" w:themeColor="background1"/>
        </w:rPr>
        <w:t xml:space="preserve">The Natural Resources Research Institute has completed </w:t>
      </w:r>
      <w:hyperlink r:id="rId92" w:history="1">
        <w:r w:rsidRPr="00F041AD">
          <w:rPr>
            <w:rStyle w:val="Hyperlink"/>
            <w:rFonts w:asciiTheme="majorHAnsi" w:hAnsiTheme="majorHAnsi"/>
            <w:color w:val="333333" w:themeColor="background1"/>
          </w:rPr>
          <w:t>two studies</w:t>
        </w:r>
      </w:hyperlink>
      <w:r w:rsidRPr="00F041AD">
        <w:rPr>
          <w:rFonts w:asciiTheme="majorHAnsi" w:hAnsiTheme="majorHAnsi"/>
          <w:color w:val="333333" w:themeColor="background1"/>
        </w:rPr>
        <w:t xml:space="preserve"> of energy storage opportunities in Minnesota.</w:t>
      </w:r>
      <w:r w:rsidRPr="00F041AD">
        <w:rPr>
          <w:rStyle w:val="EndnoteReference"/>
          <w:rFonts w:asciiTheme="majorHAnsi" w:hAnsiTheme="majorHAnsi"/>
          <w:color w:val="333333" w:themeColor="background1"/>
        </w:rPr>
        <w:endnoteReference w:id="138"/>
      </w:r>
    </w:p>
    <w:p w14:paraId="7FA23C68" w14:textId="77777777" w:rsidR="00B65A50" w:rsidRPr="00F041AD" w:rsidRDefault="00B65A50" w:rsidP="00663C1D">
      <w:pPr>
        <w:pStyle w:val="5BodyText"/>
        <w:rPr>
          <w:rFonts w:asciiTheme="majorHAnsi" w:hAnsiTheme="majorHAnsi"/>
          <w:color w:val="333333" w:themeColor="background1"/>
        </w:rPr>
      </w:pPr>
    </w:p>
    <w:p w14:paraId="0DF454BA" w14:textId="725D0997" w:rsidR="00B65A50" w:rsidRPr="00F041AD" w:rsidRDefault="006506BB" w:rsidP="00A7299A">
      <w:pPr>
        <w:pStyle w:val="5BodyText"/>
        <w:numPr>
          <w:ilvl w:val="0"/>
          <w:numId w:val="40"/>
        </w:numPr>
        <w:rPr>
          <w:rFonts w:asciiTheme="majorHAnsi" w:hAnsiTheme="majorHAnsi"/>
          <w:color w:val="333333" w:themeColor="background1"/>
        </w:rPr>
      </w:pPr>
      <w:hyperlink r:id="rId93" w:history="1">
        <w:r w:rsidR="00B65A50" w:rsidRPr="00F041AD">
          <w:rPr>
            <w:rStyle w:val="Hyperlink"/>
            <w:rFonts w:asciiTheme="majorHAnsi" w:hAnsiTheme="majorHAnsi"/>
            <w:color w:val="333333" w:themeColor="background1"/>
          </w:rPr>
          <w:t>Honeywell</w:t>
        </w:r>
      </w:hyperlink>
      <w:r w:rsidR="00B65A50" w:rsidRPr="00F041AD">
        <w:rPr>
          <w:rFonts w:asciiTheme="majorHAnsi" w:hAnsiTheme="majorHAnsi"/>
          <w:color w:val="333333" w:themeColor="background1"/>
        </w:rPr>
        <w:t>, with extensive operations in Minnesota, has partnered with demand response providers to help customers save money while reducing peak grid demand through use of communicating thermostats.</w:t>
      </w:r>
      <w:r w:rsidR="00B65A50" w:rsidRPr="00F041AD">
        <w:rPr>
          <w:rStyle w:val="EndnoteReference"/>
          <w:rFonts w:asciiTheme="majorHAnsi" w:hAnsiTheme="majorHAnsi"/>
          <w:color w:val="333333" w:themeColor="background1"/>
        </w:rPr>
        <w:endnoteReference w:id="139"/>
      </w:r>
    </w:p>
    <w:p w14:paraId="5F1D9B68" w14:textId="77777777" w:rsidR="00B65A50" w:rsidRPr="00F041AD" w:rsidRDefault="00B65A50" w:rsidP="00B37CBA">
      <w:pPr>
        <w:pStyle w:val="5BodyText"/>
        <w:rPr>
          <w:b/>
          <w:i/>
          <w:color w:val="333333" w:themeColor="background1"/>
        </w:rPr>
      </w:pPr>
    </w:p>
    <w:p w14:paraId="3C717DDF" w14:textId="77777777" w:rsidR="000034E1" w:rsidRPr="00F041AD" w:rsidRDefault="000034E1" w:rsidP="00B37CBA">
      <w:pPr>
        <w:pStyle w:val="5BodyText"/>
        <w:rPr>
          <w:b/>
          <w:i/>
          <w:color w:val="333333" w:themeColor="background1"/>
        </w:rPr>
      </w:pPr>
    </w:p>
    <w:p w14:paraId="68F6AD66" w14:textId="77777777" w:rsidR="000034E1" w:rsidRPr="00F041AD" w:rsidRDefault="000034E1" w:rsidP="00B37CBA">
      <w:pPr>
        <w:pStyle w:val="5BodyText"/>
        <w:rPr>
          <w:b/>
          <w:i/>
          <w:color w:val="333333" w:themeColor="background1"/>
        </w:rPr>
      </w:pPr>
    </w:p>
    <w:p w14:paraId="5A6716A4" w14:textId="77777777" w:rsidR="000034E1" w:rsidRPr="00F041AD" w:rsidRDefault="000034E1" w:rsidP="00B37CBA">
      <w:pPr>
        <w:pStyle w:val="5BodyText"/>
        <w:rPr>
          <w:b/>
          <w:i/>
          <w:color w:val="333333" w:themeColor="background1"/>
        </w:rPr>
      </w:pPr>
    </w:p>
    <w:p w14:paraId="603576AB" w14:textId="1568260F" w:rsidR="00B65A50" w:rsidRPr="00F041AD" w:rsidRDefault="00B65A50" w:rsidP="00B37CBA">
      <w:pPr>
        <w:pStyle w:val="5BodyText"/>
        <w:rPr>
          <w:b/>
          <w:i/>
          <w:color w:val="333333" w:themeColor="background1"/>
        </w:rPr>
      </w:pPr>
      <w:r w:rsidRPr="00F041AD">
        <w:rPr>
          <w:b/>
          <w:i/>
          <w:color w:val="333333" w:themeColor="background1"/>
        </w:rPr>
        <w:t>Other related resources</w:t>
      </w:r>
    </w:p>
    <w:p w14:paraId="68F4817C" w14:textId="79C21C19" w:rsidR="00B65A50" w:rsidRPr="00F041AD" w:rsidRDefault="00B65A50" w:rsidP="00A7299A">
      <w:pPr>
        <w:pStyle w:val="5BodyText"/>
        <w:numPr>
          <w:ilvl w:val="0"/>
          <w:numId w:val="41"/>
        </w:numPr>
        <w:rPr>
          <w:rFonts w:asciiTheme="majorHAnsi" w:hAnsiTheme="majorHAnsi"/>
          <w:color w:val="333333" w:themeColor="background1"/>
        </w:rPr>
      </w:pPr>
      <w:r w:rsidRPr="00F041AD">
        <w:rPr>
          <w:rFonts w:asciiTheme="majorHAnsi" w:hAnsiTheme="majorHAnsi"/>
          <w:color w:val="333333" w:themeColor="background1"/>
        </w:rPr>
        <w:t xml:space="preserve">The January 2016 MISO Energy Storage Workshop </w:t>
      </w:r>
      <w:hyperlink r:id="rId94">
        <w:r w:rsidRPr="00F041AD">
          <w:rPr>
            <w:rFonts w:asciiTheme="majorHAnsi" w:hAnsiTheme="majorHAnsi"/>
            <w:color w:val="333333" w:themeColor="background1"/>
            <w:u w:val="single"/>
          </w:rPr>
          <w:t>presentation</w:t>
        </w:r>
      </w:hyperlink>
      <w:r w:rsidRPr="00F041AD">
        <w:rPr>
          <w:rFonts w:asciiTheme="majorHAnsi" w:hAnsiTheme="majorHAnsi"/>
          <w:color w:val="333333" w:themeColor="background1"/>
          <w:u w:val="single"/>
        </w:rPr>
        <w:t xml:space="preserve"> provides current technologies and market rules for energy storage.</w:t>
      </w:r>
      <w:r w:rsidRPr="00F041AD">
        <w:rPr>
          <w:rStyle w:val="EndnoteReference"/>
          <w:rFonts w:asciiTheme="majorHAnsi" w:hAnsiTheme="majorHAnsi"/>
          <w:color w:val="333333" w:themeColor="background1"/>
          <w:u w:val="single"/>
        </w:rPr>
        <w:endnoteReference w:id="140"/>
      </w:r>
      <w:r w:rsidRPr="00F041AD">
        <w:rPr>
          <w:rFonts w:asciiTheme="majorHAnsi" w:hAnsiTheme="majorHAnsi"/>
          <w:color w:val="333333" w:themeColor="background1"/>
          <w:u w:val="single"/>
        </w:rPr>
        <w:br/>
      </w:r>
    </w:p>
    <w:p w14:paraId="5A16DB43" w14:textId="08E12C28" w:rsidR="00B65A50" w:rsidRPr="00F041AD" w:rsidRDefault="00B65A50" w:rsidP="00A7299A">
      <w:pPr>
        <w:pStyle w:val="5BodyText"/>
        <w:numPr>
          <w:ilvl w:val="0"/>
          <w:numId w:val="41"/>
        </w:numPr>
        <w:rPr>
          <w:rFonts w:asciiTheme="majorHAnsi" w:hAnsiTheme="majorHAnsi"/>
          <w:color w:val="333333" w:themeColor="background1"/>
        </w:rPr>
      </w:pPr>
      <w:r w:rsidRPr="00F041AD">
        <w:rPr>
          <w:rFonts w:asciiTheme="majorHAnsi" w:hAnsiTheme="majorHAnsi"/>
          <w:color w:val="333333" w:themeColor="background1"/>
        </w:rPr>
        <w:t xml:space="preserve">On January 25, 2016, the </w:t>
      </w:r>
      <w:hyperlink r:id="rId95" w:history="1">
        <w:r w:rsidRPr="00F041AD">
          <w:rPr>
            <w:rStyle w:val="Hyperlink"/>
            <w:rFonts w:asciiTheme="majorHAnsi" w:hAnsiTheme="majorHAnsi"/>
            <w:color w:val="333333" w:themeColor="background1"/>
          </w:rPr>
          <w:t>U.S. Supreme Court ruled in favor of FERC order 745</w:t>
        </w:r>
      </w:hyperlink>
      <w:r w:rsidRPr="00F041AD">
        <w:rPr>
          <w:rFonts w:asciiTheme="majorHAnsi" w:hAnsiTheme="majorHAnsi"/>
          <w:color w:val="333333" w:themeColor="background1"/>
        </w:rPr>
        <w:t>, which calls for demand response to be compensated like other generators in wholesale energy markets.</w:t>
      </w:r>
      <w:r w:rsidRPr="00F041AD">
        <w:rPr>
          <w:rStyle w:val="EndnoteReference"/>
          <w:rFonts w:asciiTheme="majorHAnsi" w:hAnsiTheme="majorHAnsi"/>
          <w:color w:val="333333" w:themeColor="background1"/>
        </w:rPr>
        <w:endnoteReference w:id="141"/>
      </w:r>
    </w:p>
    <w:p w14:paraId="07186105" w14:textId="77777777" w:rsidR="00B65A50" w:rsidRPr="00F041AD" w:rsidRDefault="00B65A50" w:rsidP="00317E43">
      <w:pPr>
        <w:pStyle w:val="5BodyText"/>
        <w:rPr>
          <w:rFonts w:asciiTheme="majorHAnsi" w:hAnsiTheme="majorHAnsi"/>
          <w:color w:val="333333" w:themeColor="background1"/>
        </w:rPr>
      </w:pPr>
    </w:p>
    <w:p w14:paraId="4D4EB0AB" w14:textId="77777777" w:rsidR="00B65A50" w:rsidRPr="00F041AD" w:rsidRDefault="00B65A50" w:rsidP="00A7299A">
      <w:pPr>
        <w:pStyle w:val="5BodyText"/>
        <w:numPr>
          <w:ilvl w:val="0"/>
          <w:numId w:val="41"/>
        </w:numPr>
        <w:rPr>
          <w:rFonts w:asciiTheme="majorHAnsi" w:hAnsiTheme="majorHAnsi"/>
          <w:color w:val="333333" w:themeColor="background1"/>
        </w:rPr>
      </w:pPr>
      <w:r w:rsidRPr="00F041AD">
        <w:rPr>
          <w:rFonts w:asciiTheme="majorHAnsi" w:hAnsiTheme="majorHAnsi"/>
          <w:color w:val="333333" w:themeColor="background1"/>
        </w:rPr>
        <w:t>Rocky Mountain Institute’s 2015 report, “</w:t>
      </w:r>
      <w:hyperlink r:id="rId96" w:history="1">
        <w:r w:rsidRPr="00F041AD">
          <w:rPr>
            <w:rStyle w:val="Hyperlink"/>
            <w:rFonts w:asciiTheme="majorHAnsi" w:hAnsiTheme="majorHAnsi"/>
            <w:color w:val="333333" w:themeColor="background1"/>
          </w:rPr>
          <w:t>The Economics of Battery Energy Storage</w:t>
        </w:r>
      </w:hyperlink>
      <w:r w:rsidRPr="00F041AD">
        <w:rPr>
          <w:rFonts w:asciiTheme="majorHAnsi" w:hAnsiTheme="majorHAnsi"/>
          <w:color w:val="333333" w:themeColor="background1"/>
        </w:rPr>
        <w:t>” highlights the potential for multiple value streams from storage investments.</w:t>
      </w:r>
      <w:r w:rsidRPr="00F041AD">
        <w:rPr>
          <w:rStyle w:val="EndnoteReference"/>
          <w:rFonts w:asciiTheme="majorHAnsi" w:hAnsiTheme="majorHAnsi"/>
          <w:color w:val="333333" w:themeColor="background1"/>
        </w:rPr>
        <w:endnoteReference w:id="142"/>
      </w:r>
    </w:p>
    <w:p w14:paraId="4BF9FB07" w14:textId="77777777" w:rsidR="00B65A50" w:rsidRPr="00F041AD" w:rsidRDefault="00B65A50" w:rsidP="00D41E2A">
      <w:pPr>
        <w:pStyle w:val="5BodyText"/>
        <w:rPr>
          <w:color w:val="333333" w:themeColor="background1"/>
        </w:rPr>
      </w:pPr>
    </w:p>
    <w:p w14:paraId="50201D06" w14:textId="4BAA2F75" w:rsidR="00B65A50" w:rsidRPr="00F041AD" w:rsidRDefault="00725676" w:rsidP="004C45CB">
      <w:pPr>
        <w:pStyle w:val="StrategyName"/>
      </w:pPr>
      <w:bookmarkStart w:id="170" w:name="_Toc322961635"/>
      <w:bookmarkStart w:id="171" w:name="_Toc322962040"/>
      <w:bookmarkStart w:id="172" w:name="_Toc322962227"/>
      <w:r>
        <w:t>B4</w:t>
      </w:r>
      <w:r w:rsidR="00B65A50" w:rsidRPr="00F041AD">
        <w:t>: Adopt time-based rates</w:t>
      </w:r>
      <w:bookmarkEnd w:id="170"/>
      <w:bookmarkEnd w:id="171"/>
      <w:bookmarkEnd w:id="172"/>
    </w:p>
    <w:p w14:paraId="3FDC83B2" w14:textId="77777777" w:rsidR="000034E1" w:rsidRPr="00F041AD" w:rsidRDefault="000034E1" w:rsidP="000034E1">
      <w:pPr>
        <w:pStyle w:val="5BodyText"/>
        <w:rPr>
          <w:color w:val="333333" w:themeColor="background1"/>
        </w:rPr>
      </w:pPr>
    </w:p>
    <w:p w14:paraId="7C1A4AF2" w14:textId="26075231" w:rsidR="00B65A50" w:rsidRPr="00F041AD" w:rsidRDefault="00B65A50" w:rsidP="007B3169">
      <w:pPr>
        <w:pStyle w:val="5BodyText"/>
        <w:rPr>
          <w:b/>
          <w:i/>
          <w:color w:val="333333" w:themeColor="background1"/>
        </w:rPr>
      </w:pPr>
      <w:r w:rsidRPr="00F041AD">
        <w:rPr>
          <w:b/>
          <w:i/>
          <w:color w:val="333333" w:themeColor="background1"/>
        </w:rPr>
        <w:t>Strategy overview</w:t>
      </w:r>
    </w:p>
    <w:p w14:paraId="7A67180B" w14:textId="77777777" w:rsidR="00B65A50" w:rsidRPr="00F041AD" w:rsidRDefault="00B65A50" w:rsidP="0035355A">
      <w:pPr>
        <w:pStyle w:val="5BodyText"/>
        <w:rPr>
          <w:color w:val="333333" w:themeColor="background1"/>
        </w:rPr>
      </w:pPr>
      <w:r w:rsidRPr="00F041AD">
        <w:rPr>
          <w:color w:val="333333" w:themeColor="background1"/>
        </w:rPr>
        <w:t>Most electricity customers pay retail electric rates that are the same no matter when energy is consumed, even though the prices that utilities pay for wholesale electricity vary widely. Wholesale prices tend to peak on hot summer days and cold winter days, and it is increasingly common for utilities to offer retail prices that reflect these market patterns. This sends economic signals to customers to reduce consumption when power costs the most.</w:t>
      </w:r>
    </w:p>
    <w:p w14:paraId="60125DBF" w14:textId="77777777" w:rsidR="00B65A50" w:rsidRPr="00F041AD" w:rsidRDefault="00B65A50" w:rsidP="0035355A">
      <w:pPr>
        <w:pStyle w:val="5BodyText"/>
        <w:rPr>
          <w:color w:val="333333" w:themeColor="background1"/>
        </w:rPr>
      </w:pPr>
    </w:p>
    <w:p w14:paraId="3BA35D0D" w14:textId="7257A0C0" w:rsidR="00B65A50" w:rsidRPr="00F041AD" w:rsidRDefault="00B65A50" w:rsidP="0035355A">
      <w:pPr>
        <w:pStyle w:val="5BodyText"/>
        <w:rPr>
          <w:color w:val="333333" w:themeColor="background1"/>
        </w:rPr>
      </w:pPr>
      <w:r w:rsidRPr="00F041AD">
        <w:rPr>
          <w:color w:val="333333" w:themeColor="background1"/>
        </w:rPr>
        <w:lastRenderedPageBreak/>
        <w:t>Time-based pricing can be beneficial both for customers as well as for the grid as a whole. Studies have estimated at least $3 billion per year in potential savings across the United States from wide adoption of time-varying rates.</w:t>
      </w:r>
      <w:r w:rsidRPr="00F041AD">
        <w:rPr>
          <w:color w:val="333333" w:themeColor="background1"/>
          <w:vertAlign w:val="superscript"/>
        </w:rPr>
        <w:endnoteReference w:id="143"/>
      </w:r>
      <w:r w:rsidRPr="00F041AD">
        <w:rPr>
          <w:color w:val="333333" w:themeColor="background1"/>
        </w:rPr>
        <w:t xml:space="preserve"> Nearly seven million utility customers nationally are already served by time-varying rates, including over 11,000 customers in Minnesota, mostly industrial and commercial customers.</w:t>
      </w:r>
      <w:r w:rsidRPr="00F041AD">
        <w:rPr>
          <w:color w:val="333333" w:themeColor="background1"/>
          <w:vertAlign w:val="superscript"/>
        </w:rPr>
        <w:endnoteReference w:id="144"/>
      </w:r>
      <w:r w:rsidRPr="00F041AD">
        <w:rPr>
          <w:color w:val="333333" w:themeColor="background1"/>
        </w:rPr>
        <w:t xml:space="preserve"> This strategy outlines steps for implementing this type of rate for mass-market (i.e. small commercial and residential) in Minnesota.</w:t>
      </w:r>
    </w:p>
    <w:p w14:paraId="488EF94A" w14:textId="77777777" w:rsidR="00B65A50" w:rsidRPr="00F041AD" w:rsidRDefault="00B65A50" w:rsidP="00D41E2A">
      <w:pPr>
        <w:pStyle w:val="5BodyText"/>
        <w:rPr>
          <w:b/>
          <w:i/>
          <w:color w:val="333333" w:themeColor="background1"/>
        </w:rPr>
      </w:pPr>
    </w:p>
    <w:p w14:paraId="68D9A7C3" w14:textId="77777777" w:rsidR="00B65A50" w:rsidRPr="00F041AD" w:rsidRDefault="00B65A50" w:rsidP="00D41E2A">
      <w:pPr>
        <w:pStyle w:val="5BodyText"/>
        <w:rPr>
          <w:b/>
          <w:i/>
          <w:color w:val="333333" w:themeColor="background1"/>
        </w:rPr>
      </w:pPr>
      <w:r w:rsidRPr="00F041AD">
        <w:rPr>
          <w:b/>
          <w:i/>
          <w:color w:val="333333" w:themeColor="background1"/>
        </w:rPr>
        <w:t>Specific actions for strategy implementation</w:t>
      </w:r>
    </w:p>
    <w:p w14:paraId="606C8D20" w14:textId="05436EB9" w:rsidR="00B65A50" w:rsidRPr="00F041AD" w:rsidRDefault="00B65A50" w:rsidP="00A7299A">
      <w:pPr>
        <w:pStyle w:val="5BodyText"/>
        <w:numPr>
          <w:ilvl w:val="0"/>
          <w:numId w:val="42"/>
        </w:numPr>
        <w:rPr>
          <w:rFonts w:asciiTheme="majorHAnsi" w:hAnsiTheme="majorHAnsi"/>
          <w:color w:val="333333" w:themeColor="background1"/>
        </w:rPr>
      </w:pPr>
      <w:r w:rsidRPr="00F041AD">
        <w:rPr>
          <w:rFonts w:asciiTheme="majorHAnsi" w:hAnsiTheme="majorHAnsi"/>
          <w:b/>
          <w:color w:val="333333" w:themeColor="background1"/>
        </w:rPr>
        <w:t>Develop and pilot new time-based rates for different customer groups.</w:t>
      </w:r>
      <w:r w:rsidRPr="00F041AD">
        <w:rPr>
          <w:rFonts w:asciiTheme="majorHAnsi" w:hAnsiTheme="majorHAnsi"/>
          <w:b/>
          <w:color w:val="333333" w:themeColor="background1"/>
        </w:rPr>
        <w:br/>
      </w:r>
      <w:r w:rsidRPr="00F041AD">
        <w:rPr>
          <w:rFonts w:asciiTheme="majorHAnsi" w:hAnsiTheme="majorHAnsi"/>
          <w:color w:val="333333" w:themeColor="background1"/>
        </w:rPr>
        <w:t>These rates could be designed to lower the costs of the grid (e.g. by avoiding investment in peaking capacity), while balancing against customer needs and limited capabilities to shift demand in time. For example, rates may consider the needs of certain customer groups, such as large industrial users and low-income customers that are unable to easily shift their demand.</w:t>
      </w:r>
      <w:r w:rsidRPr="00F041AD">
        <w:rPr>
          <w:rFonts w:asciiTheme="majorHAnsi" w:hAnsiTheme="majorHAnsi"/>
          <w:color w:val="333333" w:themeColor="background1"/>
        </w:rPr>
        <w:br/>
      </w:r>
      <w:r w:rsidRPr="00F041AD">
        <w:rPr>
          <w:rFonts w:asciiTheme="majorHAnsi" w:hAnsiTheme="majorHAnsi"/>
          <w:color w:val="333333" w:themeColor="background1"/>
        </w:rPr>
        <w:br/>
      </w:r>
      <w:r w:rsidRPr="00F041AD">
        <w:rPr>
          <w:rFonts w:asciiTheme="majorHAnsi" w:hAnsiTheme="majorHAnsi"/>
          <w:b/>
          <w:color w:val="333333" w:themeColor="background1"/>
        </w:rPr>
        <w:t xml:space="preserve">Champions/Key Participants: </w:t>
      </w:r>
      <w:r w:rsidRPr="00F041AD">
        <w:rPr>
          <w:rFonts w:asciiTheme="majorHAnsi" w:hAnsiTheme="majorHAnsi"/>
          <w:b/>
          <w:color w:val="333333" w:themeColor="background1"/>
        </w:rPr>
        <w:br/>
      </w:r>
      <w:r w:rsidRPr="00F041AD">
        <w:rPr>
          <w:rFonts w:asciiTheme="majorHAnsi" w:hAnsiTheme="majorHAnsi"/>
          <w:color w:val="333333" w:themeColor="background1"/>
        </w:rPr>
        <w:t xml:space="preserve">- </w:t>
      </w:r>
      <w:r w:rsidRPr="00F041AD">
        <w:rPr>
          <w:rFonts w:asciiTheme="majorHAnsi" w:hAnsiTheme="majorHAnsi"/>
          <w:color w:val="333333" w:themeColor="background1"/>
          <w:u w:val="single"/>
        </w:rPr>
        <w:t>e21</w:t>
      </w:r>
      <w:r w:rsidRPr="00F041AD">
        <w:rPr>
          <w:rFonts w:asciiTheme="majorHAnsi" w:hAnsiTheme="majorHAnsi"/>
          <w:color w:val="333333" w:themeColor="background1"/>
          <w:u w:val="single"/>
        </w:rPr>
        <w:br/>
      </w:r>
      <w:r w:rsidRPr="00F041AD">
        <w:rPr>
          <w:rFonts w:asciiTheme="majorHAnsi" w:hAnsiTheme="majorHAnsi"/>
          <w:color w:val="333333" w:themeColor="background1"/>
        </w:rPr>
        <w:t xml:space="preserve">- </w:t>
      </w:r>
      <w:r w:rsidRPr="00F041AD">
        <w:rPr>
          <w:rFonts w:asciiTheme="majorHAnsi" w:hAnsiTheme="majorHAnsi"/>
          <w:color w:val="333333" w:themeColor="background1"/>
          <w:u w:val="single"/>
        </w:rPr>
        <w:t>Minnesota Power</w:t>
      </w:r>
      <w:r w:rsidRPr="00F041AD">
        <w:rPr>
          <w:rFonts w:asciiTheme="majorHAnsi" w:hAnsiTheme="majorHAnsi"/>
          <w:color w:val="333333" w:themeColor="background1"/>
        </w:rPr>
        <w:t xml:space="preserve"> initiated a </w:t>
      </w:r>
      <w:hyperlink r:id="rId97" w:history="1">
        <w:r w:rsidRPr="00F041AD">
          <w:rPr>
            <w:rStyle w:val="Hyperlink"/>
            <w:rFonts w:asciiTheme="majorHAnsi" w:hAnsiTheme="majorHAnsi"/>
            <w:color w:val="333333" w:themeColor="background1"/>
          </w:rPr>
          <w:t>time-of-day rate pilot project</w:t>
        </w:r>
      </w:hyperlink>
      <w:r w:rsidRPr="00F041AD">
        <w:rPr>
          <w:rFonts w:asciiTheme="majorHAnsi" w:hAnsiTheme="majorHAnsi"/>
          <w:color w:val="333333" w:themeColor="background1"/>
        </w:rPr>
        <w:t xml:space="preserve"> in 2014 using AMI infrastructure. The annual compliance filing was submitted on 3/25/2016 under Docket 12-233 with some rate modifications proposed for further piloting. Minnesota Power is in the process of final evaluation and reporting under the terms of the DOE grant.</w:t>
      </w:r>
      <w:r w:rsidRPr="00F041AD">
        <w:rPr>
          <w:rFonts w:asciiTheme="majorHAnsi" w:hAnsiTheme="majorHAnsi"/>
          <w:color w:val="333333" w:themeColor="background1"/>
        </w:rPr>
        <w:br/>
        <w:t>- CEE</w:t>
      </w:r>
      <w:r w:rsidRPr="00F041AD">
        <w:rPr>
          <w:rFonts w:asciiTheme="majorHAnsi" w:hAnsiTheme="majorHAnsi"/>
          <w:color w:val="333333" w:themeColor="background1"/>
        </w:rPr>
        <w:br/>
      </w:r>
    </w:p>
    <w:p w14:paraId="661BC8E5" w14:textId="5DBB7FE9" w:rsidR="00B65A50" w:rsidRPr="00F041AD" w:rsidRDefault="00B65A50" w:rsidP="00436940">
      <w:pPr>
        <w:pStyle w:val="5BodyText"/>
        <w:numPr>
          <w:ilvl w:val="0"/>
          <w:numId w:val="42"/>
        </w:numPr>
        <w:rPr>
          <w:b/>
          <w:i/>
          <w:color w:val="333333" w:themeColor="background1"/>
        </w:rPr>
      </w:pPr>
      <w:r w:rsidRPr="00F041AD">
        <w:rPr>
          <w:rFonts w:asciiTheme="majorHAnsi" w:hAnsiTheme="majorHAnsi"/>
          <w:b/>
          <w:color w:val="333333" w:themeColor="background1"/>
        </w:rPr>
        <w:t xml:space="preserve">Drive customer adoption of new rates through education and enabling technology. </w:t>
      </w:r>
      <w:r w:rsidRPr="00F041AD">
        <w:rPr>
          <w:rFonts w:asciiTheme="majorHAnsi" w:hAnsiTheme="majorHAnsi"/>
          <w:color w:val="333333" w:themeColor="background1"/>
        </w:rPr>
        <w:br/>
        <w:t>To realize maximum benefits from time-varying rates, utilities may educate and provide technology (e.g. communicating thermostats or other appliances) and/or services to customers to help them understand the potential to save money on bills and make it easier for them to take action to shift their energy use.</w:t>
      </w:r>
      <w:r w:rsidRPr="00F041AD">
        <w:rPr>
          <w:rFonts w:asciiTheme="majorHAnsi" w:hAnsiTheme="majorHAnsi"/>
          <w:color w:val="333333" w:themeColor="background1"/>
        </w:rPr>
        <w:br/>
      </w:r>
      <w:r w:rsidRPr="00F041AD">
        <w:rPr>
          <w:rFonts w:asciiTheme="majorHAnsi" w:hAnsiTheme="majorHAnsi"/>
          <w:color w:val="333333" w:themeColor="background1"/>
        </w:rPr>
        <w:br/>
        <w:t>Rates can be designed to take advantage of customer capabilities and preferences. For example, residential customers are responsive to both behavioral (i.e. notifications via text message during peak periods)</w:t>
      </w:r>
      <w:r w:rsidRPr="00F041AD">
        <w:rPr>
          <w:rFonts w:asciiTheme="majorHAnsi" w:hAnsiTheme="majorHAnsi"/>
          <w:color w:val="333333" w:themeColor="background1"/>
          <w:vertAlign w:val="superscript"/>
        </w:rPr>
        <w:endnoteReference w:id="145"/>
      </w:r>
      <w:r w:rsidRPr="00F041AD">
        <w:rPr>
          <w:rFonts w:asciiTheme="majorHAnsi" w:hAnsiTheme="majorHAnsi"/>
          <w:color w:val="333333" w:themeColor="background1"/>
        </w:rPr>
        <w:t xml:space="preserve"> and technological (i.e. automatic thermostat setbacks)</w:t>
      </w:r>
      <w:r w:rsidRPr="00F041AD">
        <w:rPr>
          <w:rFonts w:asciiTheme="majorHAnsi" w:hAnsiTheme="majorHAnsi"/>
          <w:color w:val="333333" w:themeColor="background1"/>
          <w:vertAlign w:val="superscript"/>
        </w:rPr>
        <w:endnoteReference w:id="146"/>
      </w:r>
      <w:r w:rsidRPr="00F041AD">
        <w:rPr>
          <w:rFonts w:asciiTheme="majorHAnsi" w:hAnsiTheme="majorHAnsi"/>
          <w:color w:val="333333" w:themeColor="background1"/>
        </w:rPr>
        <w:t xml:space="preserve"> time-varying pricing programs, allowing a utility and/or another service provider flexibility in designing and executing these rates.</w:t>
      </w:r>
      <w:r w:rsidRPr="00F041AD">
        <w:rPr>
          <w:rFonts w:asciiTheme="majorHAnsi" w:hAnsiTheme="majorHAnsi"/>
          <w:color w:val="333333" w:themeColor="background1"/>
        </w:rPr>
        <w:br/>
      </w:r>
      <w:r w:rsidRPr="00F041AD">
        <w:rPr>
          <w:rFonts w:asciiTheme="majorHAnsi" w:hAnsiTheme="majorHAnsi"/>
          <w:color w:val="333333" w:themeColor="background1"/>
        </w:rPr>
        <w:br/>
        <w:t xml:space="preserve">Enabling technology comes in multiple forms, each with its pros and cons. Clear objectives for the new rates and the anticipated outcomes may be important as options for enabling technology are </w:t>
      </w:r>
      <w:r w:rsidRPr="00F041AD">
        <w:rPr>
          <w:rFonts w:asciiTheme="majorHAnsi" w:hAnsiTheme="majorHAnsi"/>
          <w:color w:val="333333" w:themeColor="background1"/>
        </w:rPr>
        <w:lastRenderedPageBreak/>
        <w:t>considered. Also, a path for timely advancement of pilots is helpful to ensure applied learning and understanding of customer adoption rates, actions, and impacts. Importantly, there may be correlation to conservation programs from an energy-savings perspective.</w:t>
      </w:r>
      <w:r w:rsidRPr="00F041AD">
        <w:rPr>
          <w:rFonts w:asciiTheme="majorHAnsi" w:hAnsiTheme="majorHAnsi"/>
          <w:color w:val="333333" w:themeColor="background1"/>
        </w:rPr>
        <w:br/>
      </w:r>
      <w:r w:rsidRPr="00F041AD">
        <w:rPr>
          <w:rFonts w:asciiTheme="majorHAnsi" w:hAnsiTheme="majorHAnsi"/>
          <w:b/>
          <w:color w:val="333333" w:themeColor="background1"/>
        </w:rPr>
        <w:br/>
        <w:t xml:space="preserve">Champions/Key Participants: </w:t>
      </w:r>
      <w:r w:rsidRPr="00F041AD">
        <w:rPr>
          <w:rFonts w:asciiTheme="majorHAnsi" w:hAnsiTheme="majorHAnsi"/>
          <w:b/>
          <w:color w:val="333333" w:themeColor="background1"/>
        </w:rPr>
        <w:br/>
      </w:r>
      <w:r w:rsidRPr="00F041AD">
        <w:rPr>
          <w:rFonts w:asciiTheme="majorHAnsi" w:hAnsiTheme="majorHAnsi"/>
          <w:color w:val="333333" w:themeColor="background1"/>
        </w:rPr>
        <w:t xml:space="preserve">- </w:t>
      </w:r>
      <w:r w:rsidRPr="00F041AD">
        <w:rPr>
          <w:rFonts w:asciiTheme="majorHAnsi" w:hAnsiTheme="majorHAnsi"/>
          <w:color w:val="333333" w:themeColor="background1"/>
          <w:u w:val="single"/>
        </w:rPr>
        <w:t>e21</w:t>
      </w:r>
      <w:r w:rsidRPr="00F041AD">
        <w:rPr>
          <w:rFonts w:asciiTheme="majorHAnsi" w:hAnsiTheme="majorHAnsi"/>
          <w:color w:val="333333" w:themeColor="background1"/>
        </w:rPr>
        <w:br/>
        <w:t xml:space="preserve">- </w:t>
      </w:r>
      <w:r w:rsidRPr="00F041AD">
        <w:rPr>
          <w:rFonts w:asciiTheme="majorHAnsi" w:hAnsiTheme="majorHAnsi"/>
          <w:color w:val="333333" w:themeColor="background1"/>
          <w:u w:val="single"/>
        </w:rPr>
        <w:t>Minnesota Power</w:t>
      </w:r>
      <w:r w:rsidRPr="00F041AD">
        <w:rPr>
          <w:rFonts w:asciiTheme="majorHAnsi" w:hAnsiTheme="majorHAnsi"/>
          <w:color w:val="333333" w:themeColor="background1"/>
        </w:rPr>
        <w:t xml:space="preserve"> initiated a </w:t>
      </w:r>
      <w:hyperlink r:id="rId98" w:history="1">
        <w:r w:rsidRPr="00F041AD">
          <w:rPr>
            <w:rStyle w:val="Hyperlink"/>
            <w:rFonts w:asciiTheme="majorHAnsi" w:hAnsiTheme="majorHAnsi"/>
            <w:color w:val="333333" w:themeColor="background1"/>
          </w:rPr>
          <w:t>time-of-day rate pilot project</w:t>
        </w:r>
      </w:hyperlink>
      <w:r w:rsidRPr="00F041AD">
        <w:rPr>
          <w:rFonts w:asciiTheme="majorHAnsi" w:hAnsiTheme="majorHAnsi"/>
          <w:color w:val="333333" w:themeColor="background1"/>
        </w:rPr>
        <w:t xml:space="preserve"> in 2014 using AMI infrastructure and is in the process of evaluation and reporting.  </w:t>
      </w:r>
      <w:r w:rsidRPr="00F041AD">
        <w:rPr>
          <w:rFonts w:asciiTheme="majorHAnsi" w:hAnsiTheme="majorHAnsi"/>
          <w:color w:val="333333" w:themeColor="background1"/>
        </w:rPr>
        <w:br/>
        <w:t>- CEE</w:t>
      </w:r>
      <w:r w:rsidRPr="00F041AD">
        <w:rPr>
          <w:rFonts w:asciiTheme="majorHAnsi" w:hAnsiTheme="majorHAnsi"/>
          <w:color w:val="333333" w:themeColor="background1"/>
        </w:rPr>
        <w:br/>
        <w:t>- Utilities</w:t>
      </w:r>
    </w:p>
    <w:p w14:paraId="5F229AB1" w14:textId="77777777" w:rsidR="00B65A50" w:rsidRPr="00F041AD" w:rsidRDefault="00B65A50" w:rsidP="00D41E2A">
      <w:pPr>
        <w:pStyle w:val="5BodyText"/>
        <w:rPr>
          <w:b/>
          <w:i/>
          <w:color w:val="333333" w:themeColor="background1"/>
        </w:rPr>
      </w:pPr>
    </w:p>
    <w:p w14:paraId="555E8177" w14:textId="77777777" w:rsidR="00B65A50" w:rsidRPr="00F041AD" w:rsidRDefault="00B65A50" w:rsidP="00D41E2A">
      <w:pPr>
        <w:pStyle w:val="5BodyText"/>
        <w:rPr>
          <w:b/>
          <w:i/>
          <w:color w:val="333333" w:themeColor="background1"/>
        </w:rPr>
      </w:pPr>
      <w:r w:rsidRPr="00F041AD">
        <w:rPr>
          <w:b/>
          <w:i/>
          <w:color w:val="333333" w:themeColor="background1"/>
        </w:rPr>
        <w:t>Success factors</w:t>
      </w:r>
    </w:p>
    <w:p w14:paraId="2DCCD178" w14:textId="77777777" w:rsidR="00B65A50" w:rsidRPr="00F041AD" w:rsidRDefault="00B65A50" w:rsidP="00137661">
      <w:pPr>
        <w:pStyle w:val="5BodyText"/>
        <w:numPr>
          <w:ilvl w:val="0"/>
          <w:numId w:val="43"/>
        </w:numPr>
        <w:rPr>
          <w:color w:val="333333" w:themeColor="background1"/>
        </w:rPr>
      </w:pPr>
      <w:r w:rsidRPr="00F041AD">
        <w:rPr>
          <w:b/>
          <w:color w:val="333333" w:themeColor="background1"/>
        </w:rPr>
        <w:t>Utility metering and billing systems have functionality to handle time-based rates</w:t>
      </w:r>
      <w:r w:rsidRPr="00F041AD">
        <w:rPr>
          <w:color w:val="333333" w:themeColor="background1"/>
        </w:rPr>
        <w:t>. Time-varying rates can be facilitated with AMI, but less-complex time-based rates may be supported by existing infrastructure (e.g. automated meter reading [AMR])</w:t>
      </w:r>
      <w:r w:rsidRPr="00F041AD">
        <w:rPr>
          <w:color w:val="333333" w:themeColor="background1"/>
        </w:rPr>
        <w:br/>
      </w:r>
    </w:p>
    <w:p w14:paraId="258CA477" w14:textId="77777777" w:rsidR="00B65A50" w:rsidRPr="00F041AD" w:rsidRDefault="00B65A50" w:rsidP="00137661">
      <w:pPr>
        <w:pStyle w:val="5BodyText"/>
        <w:numPr>
          <w:ilvl w:val="0"/>
          <w:numId w:val="43"/>
        </w:numPr>
        <w:rPr>
          <w:color w:val="333333" w:themeColor="background1"/>
        </w:rPr>
      </w:pPr>
      <w:r w:rsidRPr="00F041AD">
        <w:rPr>
          <w:b/>
          <w:color w:val="333333" w:themeColor="background1"/>
        </w:rPr>
        <w:t>Benefits of time-varying rate programs must be analyzed and communicated to customers</w:t>
      </w:r>
      <w:r w:rsidRPr="00F041AD">
        <w:rPr>
          <w:color w:val="333333" w:themeColor="background1"/>
        </w:rPr>
        <w:t>. Customers must be provided with information on strategies to shift their load to reduce costs and/or technologies to automate these shifts.</w:t>
      </w:r>
    </w:p>
    <w:p w14:paraId="1F8E21BB" w14:textId="77777777" w:rsidR="00B65A50" w:rsidRPr="00F041AD" w:rsidRDefault="00B65A50" w:rsidP="00F640E6">
      <w:pPr>
        <w:pStyle w:val="5BodyText"/>
        <w:rPr>
          <w:color w:val="333333" w:themeColor="background1"/>
        </w:rPr>
      </w:pPr>
    </w:p>
    <w:p w14:paraId="2AB0B4C3" w14:textId="04B59C67" w:rsidR="00B65A50" w:rsidRPr="00F041AD" w:rsidRDefault="00B65A50" w:rsidP="00137661">
      <w:pPr>
        <w:pStyle w:val="5BodyText"/>
        <w:numPr>
          <w:ilvl w:val="0"/>
          <w:numId w:val="43"/>
        </w:numPr>
        <w:rPr>
          <w:color w:val="333333" w:themeColor="background1"/>
        </w:rPr>
      </w:pPr>
      <w:r w:rsidRPr="00F041AD">
        <w:rPr>
          <w:b/>
          <w:color w:val="333333" w:themeColor="background1"/>
        </w:rPr>
        <w:t>Time-varying rates reflect wholesale price signals</w:t>
      </w:r>
      <w:r w:rsidRPr="00F041AD">
        <w:rPr>
          <w:color w:val="333333" w:themeColor="background1"/>
        </w:rPr>
        <w:t>. It is undesirable to have mixed signals for shifting consumption to different times of day; this may occur, for example, if a local utility has different peak periods during which it wishes to reduce consumption than the regional peaks reflected in the wholesale market. Peak time periods may thus vary by utility.</w:t>
      </w:r>
    </w:p>
    <w:p w14:paraId="5587E10A" w14:textId="77777777" w:rsidR="00B65A50" w:rsidRPr="00F041AD" w:rsidRDefault="00B65A50" w:rsidP="009C3E0B">
      <w:pPr>
        <w:pStyle w:val="5BodyText"/>
        <w:rPr>
          <w:color w:val="333333" w:themeColor="background1"/>
        </w:rPr>
      </w:pPr>
    </w:p>
    <w:p w14:paraId="1BDBACFB" w14:textId="30B432F7" w:rsidR="00B65A50" w:rsidRPr="00F041AD" w:rsidRDefault="00B65A50" w:rsidP="00137661">
      <w:pPr>
        <w:pStyle w:val="5BodyText"/>
        <w:numPr>
          <w:ilvl w:val="0"/>
          <w:numId w:val="43"/>
        </w:numPr>
        <w:rPr>
          <w:color w:val="333333" w:themeColor="background1"/>
        </w:rPr>
      </w:pPr>
      <w:r w:rsidRPr="00F041AD">
        <w:rPr>
          <w:color w:val="333333" w:themeColor="background1"/>
        </w:rPr>
        <w:t xml:space="preserve">Objectives for the new rates and the anticipated outcomes must be made clear as options are considered.  </w:t>
      </w:r>
    </w:p>
    <w:p w14:paraId="2599A5FF" w14:textId="77777777" w:rsidR="00B65A50" w:rsidRPr="00F041AD" w:rsidRDefault="00B65A50" w:rsidP="00D41E2A">
      <w:pPr>
        <w:pStyle w:val="5BodyText"/>
        <w:rPr>
          <w:b/>
          <w:i/>
          <w:color w:val="333333" w:themeColor="background1"/>
        </w:rPr>
      </w:pPr>
    </w:p>
    <w:p w14:paraId="1281FEEE" w14:textId="77777777" w:rsidR="00B65A50" w:rsidRPr="00F041AD" w:rsidRDefault="00B65A50" w:rsidP="00D41E2A">
      <w:pPr>
        <w:pStyle w:val="5BodyText"/>
        <w:rPr>
          <w:b/>
          <w:i/>
          <w:color w:val="333333" w:themeColor="background1"/>
        </w:rPr>
      </w:pPr>
      <w:r w:rsidRPr="00F041AD">
        <w:rPr>
          <w:b/>
          <w:i/>
          <w:color w:val="333333" w:themeColor="background1"/>
        </w:rPr>
        <w:t>Indicators of strategy success</w:t>
      </w:r>
    </w:p>
    <w:p w14:paraId="204A861C" w14:textId="77777777" w:rsidR="00B65A50" w:rsidRPr="00F041AD" w:rsidRDefault="00B65A50" w:rsidP="00137661">
      <w:pPr>
        <w:pStyle w:val="5BodyText"/>
        <w:numPr>
          <w:ilvl w:val="0"/>
          <w:numId w:val="44"/>
        </w:numPr>
        <w:rPr>
          <w:rFonts w:asciiTheme="majorHAnsi" w:hAnsiTheme="majorHAnsi"/>
          <w:color w:val="333333" w:themeColor="background1"/>
        </w:rPr>
      </w:pPr>
      <w:r w:rsidRPr="00F041AD">
        <w:rPr>
          <w:rFonts w:asciiTheme="majorHAnsi" w:hAnsiTheme="majorHAnsi"/>
          <w:color w:val="333333" w:themeColor="background1"/>
        </w:rPr>
        <w:t>Number of customers on time-based rates</w:t>
      </w:r>
      <w:r w:rsidRPr="00F041AD">
        <w:rPr>
          <w:rStyle w:val="EndnoteReference"/>
          <w:rFonts w:asciiTheme="majorHAnsi" w:hAnsiTheme="majorHAnsi"/>
          <w:color w:val="333333" w:themeColor="background1"/>
        </w:rPr>
        <w:endnoteReference w:id="147"/>
      </w:r>
      <w:r w:rsidRPr="00F041AD">
        <w:rPr>
          <w:rFonts w:asciiTheme="majorHAnsi" w:hAnsiTheme="majorHAnsi"/>
          <w:color w:val="333333" w:themeColor="background1"/>
        </w:rPr>
        <w:t xml:space="preserve"> </w:t>
      </w:r>
    </w:p>
    <w:p w14:paraId="6607B357" w14:textId="77777777" w:rsidR="00B65A50" w:rsidRPr="00F041AD" w:rsidRDefault="00B65A50" w:rsidP="00137661">
      <w:pPr>
        <w:pStyle w:val="5BodyText"/>
        <w:numPr>
          <w:ilvl w:val="0"/>
          <w:numId w:val="44"/>
        </w:numPr>
        <w:rPr>
          <w:rFonts w:asciiTheme="majorHAnsi" w:hAnsiTheme="majorHAnsi"/>
          <w:color w:val="333333" w:themeColor="background1"/>
        </w:rPr>
      </w:pPr>
      <w:r w:rsidRPr="00F041AD">
        <w:rPr>
          <w:rFonts w:asciiTheme="majorHAnsi" w:hAnsiTheme="majorHAnsi"/>
          <w:color w:val="333333" w:themeColor="background1"/>
        </w:rPr>
        <w:t>Change in customer load profile in response to time-based rates (percent peak reduction)</w:t>
      </w:r>
    </w:p>
    <w:p w14:paraId="50780245" w14:textId="77777777" w:rsidR="00B65A50" w:rsidRPr="00F041AD" w:rsidRDefault="00B65A50" w:rsidP="00137661">
      <w:pPr>
        <w:pStyle w:val="5BodyText"/>
        <w:numPr>
          <w:ilvl w:val="0"/>
          <w:numId w:val="44"/>
        </w:numPr>
        <w:rPr>
          <w:rFonts w:asciiTheme="majorHAnsi" w:hAnsiTheme="majorHAnsi"/>
          <w:color w:val="333333" w:themeColor="background1"/>
        </w:rPr>
      </w:pPr>
      <w:r w:rsidRPr="00F041AD">
        <w:rPr>
          <w:rFonts w:asciiTheme="majorHAnsi" w:hAnsiTheme="majorHAnsi"/>
          <w:color w:val="333333" w:themeColor="background1"/>
        </w:rPr>
        <w:t>Change in system load factor over time, defined as average load divided by peak load.</w:t>
      </w:r>
    </w:p>
    <w:p w14:paraId="201DBB64" w14:textId="77777777" w:rsidR="00B65A50" w:rsidRPr="00F041AD" w:rsidRDefault="00B65A50" w:rsidP="00D41E2A">
      <w:pPr>
        <w:pStyle w:val="5BodyText"/>
        <w:rPr>
          <w:b/>
          <w:i/>
          <w:color w:val="333333" w:themeColor="background1"/>
        </w:rPr>
      </w:pPr>
    </w:p>
    <w:p w14:paraId="2FAAB762" w14:textId="77777777" w:rsidR="00B65A50" w:rsidRPr="00F041AD" w:rsidRDefault="00B65A50" w:rsidP="00D41E2A">
      <w:pPr>
        <w:pStyle w:val="5BodyText"/>
        <w:rPr>
          <w:b/>
          <w:i/>
          <w:color w:val="333333" w:themeColor="background1"/>
        </w:rPr>
      </w:pPr>
      <w:r w:rsidRPr="00F041AD">
        <w:rPr>
          <w:b/>
          <w:i/>
          <w:color w:val="333333" w:themeColor="background1"/>
        </w:rPr>
        <w:t>Cross-sector opportunities and synergies</w:t>
      </w:r>
    </w:p>
    <w:p w14:paraId="59A62F20" w14:textId="77777777" w:rsidR="00B65A50" w:rsidRPr="00F041AD" w:rsidRDefault="00B65A50" w:rsidP="00137661">
      <w:pPr>
        <w:pStyle w:val="5BodyText"/>
        <w:numPr>
          <w:ilvl w:val="0"/>
          <w:numId w:val="45"/>
        </w:numPr>
        <w:rPr>
          <w:color w:val="333333" w:themeColor="background1"/>
        </w:rPr>
      </w:pPr>
      <w:r w:rsidRPr="00F041AD">
        <w:rPr>
          <w:color w:val="333333" w:themeColor="background1"/>
        </w:rPr>
        <w:lastRenderedPageBreak/>
        <w:t xml:space="preserve">Time-based rates can alter incentives for </w:t>
      </w:r>
      <w:r w:rsidRPr="00F041AD">
        <w:rPr>
          <w:b/>
          <w:color w:val="333333" w:themeColor="background1"/>
        </w:rPr>
        <w:t xml:space="preserve">building efficiency </w:t>
      </w:r>
      <w:r w:rsidRPr="00F041AD">
        <w:rPr>
          <w:color w:val="333333" w:themeColor="background1"/>
        </w:rPr>
        <w:t>programs, e.g. by incentivizing energy conservation measures that reduce peak-period demand.</w:t>
      </w:r>
      <w:r w:rsidRPr="00F041AD">
        <w:rPr>
          <w:color w:val="333333" w:themeColor="background1"/>
        </w:rPr>
        <w:br/>
      </w:r>
    </w:p>
    <w:p w14:paraId="576ABB4F" w14:textId="77777777" w:rsidR="00B65A50" w:rsidRPr="00F041AD" w:rsidRDefault="00B65A50" w:rsidP="00137661">
      <w:pPr>
        <w:pStyle w:val="5BodyText"/>
        <w:numPr>
          <w:ilvl w:val="0"/>
          <w:numId w:val="45"/>
        </w:numPr>
        <w:rPr>
          <w:color w:val="333333" w:themeColor="background1"/>
        </w:rPr>
      </w:pPr>
      <w:r w:rsidRPr="00F041AD">
        <w:rPr>
          <w:color w:val="333333" w:themeColor="background1"/>
        </w:rPr>
        <w:t xml:space="preserve">Time-based rates can be used to promote charging </w:t>
      </w:r>
      <w:r w:rsidRPr="00F041AD">
        <w:rPr>
          <w:b/>
          <w:color w:val="333333" w:themeColor="background1"/>
        </w:rPr>
        <w:t>electric vehicles</w:t>
      </w:r>
      <w:r w:rsidRPr="00F041AD">
        <w:rPr>
          <w:color w:val="333333" w:themeColor="background1"/>
        </w:rPr>
        <w:t xml:space="preserve"> at low-cost times that would not add to peak demand.</w:t>
      </w:r>
      <w:r w:rsidRPr="00F041AD">
        <w:rPr>
          <w:color w:val="333333" w:themeColor="background1"/>
        </w:rPr>
        <w:br/>
      </w:r>
    </w:p>
    <w:p w14:paraId="34A0B9FD" w14:textId="77777777" w:rsidR="00B65A50" w:rsidRPr="00F041AD" w:rsidRDefault="00B65A50" w:rsidP="00137661">
      <w:pPr>
        <w:pStyle w:val="5BodyText"/>
        <w:numPr>
          <w:ilvl w:val="0"/>
          <w:numId w:val="45"/>
        </w:numPr>
        <w:rPr>
          <w:color w:val="333333" w:themeColor="background1"/>
        </w:rPr>
      </w:pPr>
      <w:r w:rsidRPr="00F041AD">
        <w:rPr>
          <w:color w:val="333333" w:themeColor="background1"/>
        </w:rPr>
        <w:t xml:space="preserve">Time-based rates can unlock additional value from </w:t>
      </w:r>
      <w:r w:rsidRPr="00F041AD">
        <w:rPr>
          <w:b/>
          <w:color w:val="333333" w:themeColor="background1"/>
        </w:rPr>
        <w:t>AMI</w:t>
      </w:r>
      <w:r w:rsidRPr="00F041AD">
        <w:rPr>
          <w:color w:val="333333" w:themeColor="background1"/>
        </w:rPr>
        <w:t xml:space="preserve"> </w:t>
      </w:r>
      <w:r w:rsidRPr="00F041AD">
        <w:rPr>
          <w:b/>
          <w:color w:val="333333" w:themeColor="background1"/>
        </w:rPr>
        <w:t>deployment.</w:t>
      </w:r>
      <w:r w:rsidRPr="00F041AD">
        <w:rPr>
          <w:b/>
          <w:color w:val="333333" w:themeColor="background1"/>
        </w:rPr>
        <w:br/>
      </w:r>
    </w:p>
    <w:p w14:paraId="4349EC17" w14:textId="150BF528" w:rsidR="00B65A50" w:rsidRPr="00F041AD" w:rsidRDefault="00B65A50" w:rsidP="00137661">
      <w:pPr>
        <w:pStyle w:val="5BodyText"/>
        <w:numPr>
          <w:ilvl w:val="0"/>
          <w:numId w:val="45"/>
        </w:numPr>
        <w:rPr>
          <w:b/>
          <w:i/>
          <w:color w:val="333333" w:themeColor="background1"/>
        </w:rPr>
      </w:pPr>
      <w:r w:rsidRPr="00F041AD">
        <w:rPr>
          <w:color w:val="333333" w:themeColor="background1"/>
        </w:rPr>
        <w:t xml:space="preserve">Time-based rates can incentivize </w:t>
      </w:r>
      <w:r w:rsidRPr="00F041AD">
        <w:rPr>
          <w:b/>
          <w:color w:val="333333" w:themeColor="background1"/>
        </w:rPr>
        <w:t>energy storage and demand response.</w:t>
      </w:r>
    </w:p>
    <w:p w14:paraId="7F063E7E" w14:textId="77777777" w:rsidR="00B65A50" w:rsidRPr="00F041AD" w:rsidRDefault="00B65A50" w:rsidP="00D41E2A">
      <w:pPr>
        <w:pStyle w:val="5BodyText"/>
        <w:rPr>
          <w:b/>
          <w:i/>
          <w:color w:val="333333" w:themeColor="background1"/>
        </w:rPr>
      </w:pPr>
    </w:p>
    <w:p w14:paraId="05F2FEC2" w14:textId="77777777" w:rsidR="00B65A50" w:rsidRPr="00F041AD" w:rsidRDefault="00B65A50" w:rsidP="00D41E2A">
      <w:pPr>
        <w:pStyle w:val="5BodyText"/>
        <w:rPr>
          <w:b/>
          <w:i/>
          <w:color w:val="333333" w:themeColor="background1"/>
        </w:rPr>
      </w:pPr>
      <w:r w:rsidRPr="00F041AD">
        <w:rPr>
          <w:b/>
          <w:i/>
          <w:color w:val="333333" w:themeColor="background1"/>
        </w:rPr>
        <w:t>Ongoing Minnesota initiatives</w:t>
      </w:r>
    </w:p>
    <w:p w14:paraId="76FDAE41" w14:textId="77777777" w:rsidR="00B65A50" w:rsidRPr="00F041AD" w:rsidRDefault="00B65A50" w:rsidP="00137661">
      <w:pPr>
        <w:pStyle w:val="5BodyText"/>
        <w:numPr>
          <w:ilvl w:val="0"/>
          <w:numId w:val="46"/>
        </w:numPr>
        <w:rPr>
          <w:rFonts w:asciiTheme="majorHAnsi" w:hAnsiTheme="majorHAnsi"/>
          <w:color w:val="333333" w:themeColor="background1"/>
        </w:rPr>
      </w:pPr>
      <w:r w:rsidRPr="00F041AD">
        <w:rPr>
          <w:rFonts w:asciiTheme="majorHAnsi" w:hAnsiTheme="majorHAnsi"/>
          <w:color w:val="333333" w:themeColor="background1"/>
        </w:rPr>
        <w:t xml:space="preserve">Minnesota Power initiated a </w:t>
      </w:r>
      <w:hyperlink r:id="rId99" w:history="1">
        <w:r w:rsidRPr="00F041AD">
          <w:rPr>
            <w:rStyle w:val="Hyperlink"/>
            <w:rFonts w:asciiTheme="majorHAnsi" w:hAnsiTheme="majorHAnsi"/>
            <w:color w:val="333333" w:themeColor="background1"/>
          </w:rPr>
          <w:t>time-of-day rate pilot project</w:t>
        </w:r>
      </w:hyperlink>
      <w:r w:rsidRPr="00F041AD">
        <w:rPr>
          <w:rFonts w:asciiTheme="majorHAnsi" w:hAnsiTheme="majorHAnsi"/>
          <w:color w:val="333333" w:themeColor="background1"/>
        </w:rPr>
        <w:t xml:space="preserve"> in 2014 using AMI infrastructure and is in the process of evaluation and reporting.</w:t>
      </w:r>
      <w:r w:rsidRPr="00F041AD">
        <w:rPr>
          <w:rStyle w:val="EndnoteReference"/>
          <w:rFonts w:asciiTheme="majorHAnsi" w:hAnsiTheme="majorHAnsi"/>
          <w:color w:val="333333" w:themeColor="background1"/>
        </w:rPr>
        <w:endnoteReference w:id="148"/>
      </w:r>
    </w:p>
    <w:p w14:paraId="7D12FD54" w14:textId="77777777" w:rsidR="00B65A50" w:rsidRPr="00F041AD" w:rsidRDefault="00B65A50" w:rsidP="00137661">
      <w:pPr>
        <w:pStyle w:val="5BodyText"/>
        <w:rPr>
          <w:rFonts w:asciiTheme="majorHAnsi" w:hAnsiTheme="majorHAnsi"/>
          <w:color w:val="333333" w:themeColor="background1"/>
        </w:rPr>
      </w:pPr>
    </w:p>
    <w:p w14:paraId="5C8D7A52" w14:textId="77777777" w:rsidR="00B65A50" w:rsidRPr="00F041AD" w:rsidRDefault="00B65A50" w:rsidP="00137661">
      <w:pPr>
        <w:pStyle w:val="5BodyText"/>
        <w:numPr>
          <w:ilvl w:val="0"/>
          <w:numId w:val="46"/>
        </w:numPr>
        <w:rPr>
          <w:rFonts w:asciiTheme="majorHAnsi" w:hAnsiTheme="majorHAnsi"/>
          <w:color w:val="333333" w:themeColor="background1"/>
        </w:rPr>
      </w:pPr>
      <w:r w:rsidRPr="00F041AD">
        <w:rPr>
          <w:rFonts w:asciiTheme="majorHAnsi" w:hAnsiTheme="majorHAnsi"/>
          <w:color w:val="333333" w:themeColor="background1"/>
        </w:rPr>
        <w:t>The Minnesota Department of Commerce’s “Report on Alternative Rate Design Options” describes “alternative rate designs that result in rates that promote energy conservation, reduce peak demand, and/or send more accurate, useful price signals to customers.”</w:t>
      </w:r>
      <w:r w:rsidRPr="00F041AD">
        <w:rPr>
          <w:rStyle w:val="EndnoteReference"/>
          <w:rFonts w:asciiTheme="majorHAnsi" w:hAnsiTheme="majorHAnsi"/>
          <w:color w:val="333333" w:themeColor="background1"/>
        </w:rPr>
        <w:endnoteReference w:id="149"/>
      </w:r>
    </w:p>
    <w:p w14:paraId="3A9A90E7" w14:textId="77777777" w:rsidR="00B65A50" w:rsidRPr="00F041AD" w:rsidRDefault="00B65A50" w:rsidP="00137661">
      <w:pPr>
        <w:pStyle w:val="5BodyText"/>
        <w:rPr>
          <w:rFonts w:asciiTheme="majorHAnsi" w:hAnsiTheme="majorHAnsi"/>
          <w:color w:val="333333" w:themeColor="background1"/>
        </w:rPr>
      </w:pPr>
    </w:p>
    <w:p w14:paraId="56B5C416" w14:textId="77777777" w:rsidR="00B65A50" w:rsidRPr="00F041AD" w:rsidRDefault="00B65A50" w:rsidP="00137661">
      <w:pPr>
        <w:pStyle w:val="5BodyText"/>
        <w:numPr>
          <w:ilvl w:val="0"/>
          <w:numId w:val="46"/>
        </w:numPr>
        <w:rPr>
          <w:rFonts w:asciiTheme="majorHAnsi" w:hAnsiTheme="majorHAnsi"/>
          <w:color w:val="333333" w:themeColor="background1"/>
        </w:rPr>
      </w:pPr>
      <w:r w:rsidRPr="00F041AD">
        <w:rPr>
          <w:rFonts w:asciiTheme="majorHAnsi" w:hAnsiTheme="majorHAnsi"/>
          <w:color w:val="333333" w:themeColor="background1"/>
        </w:rPr>
        <w:t>The e21 Initiative continues work around rate design reforms.</w:t>
      </w:r>
      <w:r w:rsidRPr="00F041AD">
        <w:rPr>
          <w:rStyle w:val="EndnoteReference"/>
          <w:rFonts w:asciiTheme="majorHAnsi" w:hAnsiTheme="majorHAnsi"/>
          <w:color w:val="333333" w:themeColor="background1"/>
        </w:rPr>
        <w:endnoteReference w:id="150"/>
      </w:r>
    </w:p>
    <w:p w14:paraId="1630557D" w14:textId="77777777" w:rsidR="00B65A50" w:rsidRPr="00F041AD" w:rsidRDefault="00B65A50" w:rsidP="00137661">
      <w:pPr>
        <w:pStyle w:val="5BodyText"/>
        <w:rPr>
          <w:rFonts w:asciiTheme="majorHAnsi" w:hAnsiTheme="majorHAnsi"/>
          <w:color w:val="333333" w:themeColor="background1"/>
        </w:rPr>
      </w:pPr>
    </w:p>
    <w:p w14:paraId="574C598D" w14:textId="77777777" w:rsidR="00B65A50" w:rsidRPr="00F041AD" w:rsidRDefault="00B65A50" w:rsidP="00137661">
      <w:pPr>
        <w:pStyle w:val="5BodyText"/>
        <w:numPr>
          <w:ilvl w:val="0"/>
          <w:numId w:val="46"/>
        </w:numPr>
        <w:rPr>
          <w:rFonts w:asciiTheme="majorHAnsi" w:hAnsiTheme="majorHAnsi"/>
          <w:color w:val="333333" w:themeColor="background1"/>
        </w:rPr>
      </w:pPr>
      <w:r w:rsidRPr="00F041AD">
        <w:rPr>
          <w:rFonts w:asciiTheme="majorHAnsi" w:hAnsiTheme="majorHAnsi"/>
          <w:color w:val="333333" w:themeColor="background1"/>
        </w:rPr>
        <w:t xml:space="preserve">The e21 Initiative </w:t>
      </w:r>
      <w:hyperlink r:id="rId100" w:history="1">
        <w:r w:rsidRPr="00F041AD">
          <w:rPr>
            <w:rStyle w:val="Hyperlink"/>
            <w:rFonts w:asciiTheme="majorHAnsi" w:hAnsiTheme="majorHAnsi"/>
            <w:color w:val="333333" w:themeColor="background1"/>
          </w:rPr>
          <w:t>Phase 1 Report</w:t>
        </w:r>
      </w:hyperlink>
      <w:r w:rsidRPr="00F041AD">
        <w:rPr>
          <w:rFonts w:asciiTheme="majorHAnsi" w:hAnsiTheme="majorHAnsi"/>
          <w:color w:val="333333" w:themeColor="background1"/>
        </w:rPr>
        <w:t xml:space="preserve"> recommendations identified the opportunity for Time-Based Rates in Minnesota.</w:t>
      </w:r>
      <w:r w:rsidRPr="00F041AD">
        <w:rPr>
          <w:rStyle w:val="EndnoteReference"/>
          <w:rFonts w:asciiTheme="majorHAnsi" w:hAnsiTheme="majorHAnsi"/>
          <w:color w:val="333333" w:themeColor="background1"/>
        </w:rPr>
        <w:endnoteReference w:id="151"/>
      </w:r>
    </w:p>
    <w:p w14:paraId="4EA18D31" w14:textId="77777777" w:rsidR="00B65A50" w:rsidRPr="00F041AD" w:rsidRDefault="00B65A50" w:rsidP="00137661">
      <w:pPr>
        <w:pStyle w:val="5BodyText"/>
        <w:rPr>
          <w:rFonts w:asciiTheme="majorHAnsi" w:hAnsiTheme="majorHAnsi"/>
          <w:color w:val="333333" w:themeColor="background1"/>
        </w:rPr>
      </w:pPr>
    </w:p>
    <w:p w14:paraId="26B262A0" w14:textId="77777777" w:rsidR="00B65A50" w:rsidRPr="00F041AD" w:rsidRDefault="006506BB" w:rsidP="00137661">
      <w:pPr>
        <w:pStyle w:val="5BodyText"/>
        <w:numPr>
          <w:ilvl w:val="0"/>
          <w:numId w:val="46"/>
        </w:numPr>
        <w:rPr>
          <w:rFonts w:asciiTheme="majorHAnsi" w:hAnsiTheme="majorHAnsi"/>
          <w:color w:val="333333" w:themeColor="background1"/>
        </w:rPr>
      </w:pPr>
      <w:hyperlink r:id="rId101" w:history="1">
        <w:r w:rsidR="00B65A50" w:rsidRPr="00F041AD">
          <w:rPr>
            <w:rStyle w:val="Hyperlink"/>
            <w:rFonts w:asciiTheme="majorHAnsi" w:hAnsiTheme="majorHAnsi"/>
            <w:color w:val="333333" w:themeColor="background1"/>
          </w:rPr>
          <w:t>Center for Energy and Environment</w:t>
        </w:r>
      </w:hyperlink>
      <w:r w:rsidR="00B65A50" w:rsidRPr="00F041AD">
        <w:rPr>
          <w:rFonts w:asciiTheme="majorHAnsi" w:hAnsiTheme="majorHAnsi"/>
          <w:color w:val="333333" w:themeColor="background1"/>
        </w:rPr>
        <w:t xml:space="preserve"> promotes education and outreach surrounding time-based rates.</w:t>
      </w:r>
      <w:r w:rsidR="00B65A50" w:rsidRPr="00F041AD">
        <w:rPr>
          <w:rStyle w:val="EndnoteReference"/>
          <w:rFonts w:asciiTheme="majorHAnsi" w:hAnsiTheme="majorHAnsi"/>
          <w:color w:val="333333" w:themeColor="background1"/>
        </w:rPr>
        <w:endnoteReference w:id="152"/>
      </w:r>
    </w:p>
    <w:p w14:paraId="6371B33F" w14:textId="77777777" w:rsidR="00B65A50" w:rsidRPr="00F041AD" w:rsidRDefault="00B65A50" w:rsidP="00D41E2A">
      <w:pPr>
        <w:pStyle w:val="5BodyText"/>
        <w:rPr>
          <w:b/>
          <w:i/>
          <w:color w:val="333333" w:themeColor="background1"/>
        </w:rPr>
      </w:pPr>
    </w:p>
    <w:p w14:paraId="56240821" w14:textId="77777777" w:rsidR="00B65A50" w:rsidRPr="00F041AD" w:rsidRDefault="00B65A50" w:rsidP="00D41E2A">
      <w:pPr>
        <w:pStyle w:val="5BodyText"/>
        <w:rPr>
          <w:b/>
          <w:i/>
          <w:color w:val="333333" w:themeColor="background1"/>
        </w:rPr>
      </w:pPr>
    </w:p>
    <w:p w14:paraId="3F58C7E9" w14:textId="77777777" w:rsidR="00B65A50" w:rsidRPr="00F041AD" w:rsidRDefault="00B65A50" w:rsidP="00D41E2A">
      <w:pPr>
        <w:pStyle w:val="5BodyText"/>
        <w:rPr>
          <w:b/>
          <w:i/>
          <w:color w:val="333333" w:themeColor="background1"/>
        </w:rPr>
      </w:pPr>
      <w:r w:rsidRPr="00F041AD">
        <w:rPr>
          <w:b/>
          <w:i/>
          <w:color w:val="333333" w:themeColor="background1"/>
        </w:rPr>
        <w:t>Other related resources</w:t>
      </w:r>
    </w:p>
    <w:p w14:paraId="6C326FE9" w14:textId="77777777" w:rsidR="00B65A50" w:rsidRPr="00F041AD" w:rsidRDefault="00B65A50" w:rsidP="00137661">
      <w:pPr>
        <w:pStyle w:val="5BodyText"/>
        <w:numPr>
          <w:ilvl w:val="0"/>
          <w:numId w:val="47"/>
        </w:numPr>
        <w:rPr>
          <w:rFonts w:asciiTheme="majorHAnsi" w:hAnsiTheme="majorHAnsi"/>
          <w:color w:val="333333" w:themeColor="background1"/>
        </w:rPr>
      </w:pPr>
      <w:r w:rsidRPr="00F041AD">
        <w:rPr>
          <w:rFonts w:asciiTheme="majorHAnsi" w:hAnsiTheme="majorHAnsi"/>
          <w:color w:val="333333" w:themeColor="background1"/>
        </w:rPr>
        <w:t>The Brattle Group’s paper, “</w:t>
      </w:r>
      <w:hyperlink r:id="rId102" w:history="1">
        <w:r w:rsidRPr="00F041AD">
          <w:rPr>
            <w:rStyle w:val="Hyperlink"/>
            <w:rFonts w:asciiTheme="majorHAnsi" w:hAnsiTheme="majorHAnsi"/>
            <w:color w:val="333333" w:themeColor="background1"/>
          </w:rPr>
          <w:t>The Power of 5 Percent</w:t>
        </w:r>
      </w:hyperlink>
      <w:r w:rsidRPr="00F041AD">
        <w:rPr>
          <w:rFonts w:asciiTheme="majorHAnsi" w:hAnsiTheme="majorHAnsi"/>
          <w:color w:val="333333" w:themeColor="background1"/>
        </w:rPr>
        <w:t>,” highlights the national opportunity to achieve significant savings though peak demand reduction.</w:t>
      </w:r>
      <w:r w:rsidRPr="00F041AD">
        <w:rPr>
          <w:rStyle w:val="EndnoteReference"/>
          <w:rFonts w:asciiTheme="majorHAnsi" w:hAnsiTheme="majorHAnsi"/>
          <w:color w:val="333333" w:themeColor="background1"/>
        </w:rPr>
        <w:endnoteReference w:id="153"/>
      </w:r>
      <w:r w:rsidRPr="00F041AD">
        <w:rPr>
          <w:rFonts w:asciiTheme="majorHAnsi" w:hAnsiTheme="majorHAnsi"/>
          <w:color w:val="333333" w:themeColor="background1"/>
        </w:rPr>
        <w:t xml:space="preserve"> </w:t>
      </w:r>
    </w:p>
    <w:p w14:paraId="65FC2E8F" w14:textId="77777777" w:rsidR="00B65A50" w:rsidRPr="00F041AD" w:rsidRDefault="00B65A50" w:rsidP="00137661">
      <w:pPr>
        <w:pStyle w:val="5BodyText"/>
        <w:rPr>
          <w:rFonts w:asciiTheme="majorHAnsi" w:hAnsiTheme="majorHAnsi"/>
          <w:color w:val="333333" w:themeColor="background1"/>
        </w:rPr>
      </w:pPr>
    </w:p>
    <w:p w14:paraId="169319F7" w14:textId="0E5C0FCF" w:rsidR="00B65A50" w:rsidRPr="00F041AD" w:rsidRDefault="00B65A50" w:rsidP="00137661">
      <w:pPr>
        <w:pStyle w:val="5BodyText"/>
        <w:numPr>
          <w:ilvl w:val="0"/>
          <w:numId w:val="47"/>
        </w:numPr>
        <w:rPr>
          <w:rFonts w:asciiTheme="majorHAnsi" w:hAnsiTheme="majorHAnsi"/>
          <w:bCs/>
          <w:color w:val="333333" w:themeColor="background1"/>
        </w:rPr>
      </w:pPr>
      <w:r w:rsidRPr="00F041AD">
        <w:rPr>
          <w:rFonts w:asciiTheme="majorHAnsi" w:hAnsiTheme="majorHAnsi"/>
          <w:color w:val="333333" w:themeColor="background1"/>
        </w:rPr>
        <w:t>The Brattle Group’s paper, “</w:t>
      </w:r>
      <w:hyperlink r:id="rId103" w:history="1">
        <w:r w:rsidRPr="00F041AD">
          <w:rPr>
            <w:rStyle w:val="Hyperlink"/>
            <w:rFonts w:asciiTheme="majorHAnsi" w:hAnsiTheme="majorHAnsi"/>
            <w:bCs/>
            <w:color w:val="333333" w:themeColor="background1"/>
          </w:rPr>
          <w:t>Arcturus: International Evidence on Dynamic Pricing</w:t>
        </w:r>
      </w:hyperlink>
      <w:r w:rsidRPr="00F041AD">
        <w:rPr>
          <w:rFonts w:asciiTheme="majorHAnsi" w:hAnsiTheme="majorHAnsi"/>
          <w:bCs/>
          <w:color w:val="333333" w:themeColor="background1"/>
        </w:rPr>
        <w:t>,” provides a meta-review of international time-varying pricing programs that suggests significant peak reduction benefits.</w:t>
      </w:r>
      <w:r w:rsidRPr="00F041AD">
        <w:rPr>
          <w:rStyle w:val="EndnoteReference"/>
          <w:rFonts w:asciiTheme="majorHAnsi" w:hAnsiTheme="majorHAnsi"/>
          <w:bCs/>
          <w:color w:val="333333" w:themeColor="background1"/>
        </w:rPr>
        <w:endnoteReference w:id="154"/>
      </w:r>
    </w:p>
    <w:p w14:paraId="4BDCAC38" w14:textId="77777777" w:rsidR="00B65A50" w:rsidRPr="00F041AD" w:rsidRDefault="00B65A50" w:rsidP="00B37CBA">
      <w:pPr>
        <w:pStyle w:val="5BodyText"/>
        <w:rPr>
          <w:b/>
          <w:i/>
          <w:color w:val="333333" w:themeColor="background1"/>
        </w:rPr>
      </w:pPr>
    </w:p>
    <w:p w14:paraId="6530543E" w14:textId="77777777" w:rsidR="00B65A50" w:rsidRPr="00F041AD" w:rsidRDefault="00B65A50" w:rsidP="00B37CBA">
      <w:pPr>
        <w:pStyle w:val="5BodyText"/>
        <w:rPr>
          <w:b/>
          <w:i/>
          <w:color w:val="333333" w:themeColor="background1"/>
        </w:rPr>
      </w:pPr>
    </w:p>
    <w:p w14:paraId="08D2A531" w14:textId="16E1CF8F" w:rsidR="00B65A50" w:rsidRPr="00F041AD" w:rsidRDefault="00725676" w:rsidP="004C45CB">
      <w:pPr>
        <w:pStyle w:val="StrategyName"/>
      </w:pPr>
      <w:bookmarkStart w:id="173" w:name="_Toc322961636"/>
      <w:bookmarkStart w:id="174" w:name="_Toc322962041"/>
      <w:bookmarkStart w:id="175" w:name="_Toc322962228"/>
      <w:r>
        <w:t>B5</w:t>
      </w:r>
      <w:r w:rsidR="00B65A50" w:rsidRPr="00F041AD">
        <w:t>. Expand and improve utility green energy options</w:t>
      </w:r>
      <w:bookmarkEnd w:id="173"/>
      <w:bookmarkEnd w:id="174"/>
      <w:bookmarkEnd w:id="175"/>
    </w:p>
    <w:p w14:paraId="09B50FA5" w14:textId="77777777" w:rsidR="000034E1" w:rsidRPr="00F041AD" w:rsidRDefault="000034E1" w:rsidP="000034E1">
      <w:pPr>
        <w:pStyle w:val="5BodyText"/>
        <w:rPr>
          <w:color w:val="333333" w:themeColor="background1"/>
        </w:rPr>
      </w:pPr>
    </w:p>
    <w:p w14:paraId="174CCAFC" w14:textId="77777777" w:rsidR="00B65A50" w:rsidRPr="00F041AD" w:rsidRDefault="00B65A50" w:rsidP="00D34FE5">
      <w:pPr>
        <w:pStyle w:val="5BodyText"/>
        <w:rPr>
          <w:b/>
          <w:i/>
          <w:color w:val="333333" w:themeColor="background1"/>
        </w:rPr>
      </w:pPr>
      <w:r w:rsidRPr="00F041AD">
        <w:rPr>
          <w:b/>
          <w:i/>
          <w:color w:val="333333" w:themeColor="background1"/>
        </w:rPr>
        <w:t>Strategy overview</w:t>
      </w:r>
    </w:p>
    <w:p w14:paraId="5BFB2C7A" w14:textId="67B6C034" w:rsidR="00B65A50" w:rsidRPr="00F041AD" w:rsidRDefault="00B65A50" w:rsidP="00B173F6">
      <w:pPr>
        <w:pStyle w:val="5BodyText"/>
        <w:rPr>
          <w:rFonts w:asciiTheme="majorHAnsi" w:hAnsiTheme="majorHAnsi"/>
          <w:color w:val="333333" w:themeColor="background1"/>
        </w:rPr>
      </w:pPr>
      <w:r w:rsidRPr="00F041AD">
        <w:rPr>
          <w:rFonts w:asciiTheme="majorHAnsi" w:hAnsiTheme="majorHAnsi"/>
          <w:color w:val="333333" w:themeColor="background1"/>
        </w:rPr>
        <w:t xml:space="preserve">Electric and gas utilities generally offer customers a single product: kilowatt-hours or </w:t>
      </w:r>
      <w:proofErr w:type="spellStart"/>
      <w:r w:rsidRPr="00F041AD">
        <w:rPr>
          <w:rFonts w:asciiTheme="majorHAnsi" w:hAnsiTheme="majorHAnsi"/>
          <w:color w:val="333333" w:themeColor="background1"/>
        </w:rPr>
        <w:t>therms</w:t>
      </w:r>
      <w:proofErr w:type="spellEnd"/>
      <w:r w:rsidRPr="00F041AD">
        <w:rPr>
          <w:rFonts w:asciiTheme="majorHAnsi" w:hAnsiTheme="majorHAnsi"/>
          <w:color w:val="333333" w:themeColor="background1"/>
        </w:rPr>
        <w:t xml:space="preserve"> of gas, on demand, with no differentiation for the source of that energy. However, there is an increasing demand across many customer classes to be able to buy energy with “green” attributes, e.g. electricity produced by a wind turbine, or natural gas generated through anaerobic digestion. Institutions and corporations, including several large Minnesota-based businesses (Target and 3M),</w:t>
      </w:r>
      <w:r w:rsidRPr="00F041AD">
        <w:rPr>
          <w:rStyle w:val="EndnoteReference"/>
          <w:rFonts w:asciiTheme="majorHAnsi" w:hAnsiTheme="majorHAnsi"/>
          <w:color w:val="333333" w:themeColor="background1"/>
        </w:rPr>
        <w:endnoteReference w:id="155"/>
      </w:r>
      <w:r w:rsidRPr="00F041AD">
        <w:rPr>
          <w:rFonts w:asciiTheme="majorHAnsi" w:hAnsiTheme="majorHAnsi"/>
          <w:color w:val="333333" w:themeColor="background1"/>
        </w:rPr>
        <w:t xml:space="preserve"> increasingly seek to power their facilities with green energy in order to meet internal goals for sustainability and energy cost stability.</w:t>
      </w:r>
    </w:p>
    <w:p w14:paraId="4DE63144" w14:textId="77777777" w:rsidR="00B65A50" w:rsidRPr="00F041AD" w:rsidRDefault="00B65A50" w:rsidP="00B173F6">
      <w:pPr>
        <w:pStyle w:val="5BodyText"/>
        <w:rPr>
          <w:rFonts w:asciiTheme="majorHAnsi" w:hAnsiTheme="majorHAnsi"/>
          <w:color w:val="333333" w:themeColor="background1"/>
        </w:rPr>
      </w:pPr>
    </w:p>
    <w:p w14:paraId="12FCDB97" w14:textId="77777777" w:rsidR="00B65A50" w:rsidRPr="00F041AD" w:rsidRDefault="00B65A50" w:rsidP="00B173F6">
      <w:pPr>
        <w:pStyle w:val="5BodyText"/>
        <w:rPr>
          <w:rFonts w:asciiTheme="majorHAnsi" w:hAnsiTheme="majorHAnsi"/>
          <w:color w:val="333333" w:themeColor="background1"/>
        </w:rPr>
      </w:pPr>
      <w:r w:rsidRPr="00F041AD">
        <w:rPr>
          <w:rFonts w:asciiTheme="majorHAnsi" w:hAnsiTheme="majorHAnsi"/>
          <w:color w:val="333333" w:themeColor="background1"/>
        </w:rPr>
        <w:t>Utilities across the country, including some in Minnesota, are offering tariffs (i.e. pricing agreements) that allow for customers to choose renewable supply. Even though it is impossible to track an individual kWh on the grid and difficult to physically deliver and/or track renewably generated natural gas through existing infrastructure, financial means (e.g. Renewable Energy Credits, or RECs) can be used to track and allocate the production and consumption of renewable energy. In addition to satisfying customer demand for green energy, these tariffs can also be an opportunity for driving incremental growth in renewables beyond utility- or state-level mandates.</w:t>
      </w:r>
      <w:r w:rsidRPr="00F041AD">
        <w:rPr>
          <w:rFonts w:asciiTheme="majorHAnsi" w:hAnsiTheme="majorHAnsi"/>
          <w:color w:val="333333" w:themeColor="background1"/>
        </w:rPr>
        <w:br/>
      </w:r>
    </w:p>
    <w:p w14:paraId="5B5160CB" w14:textId="05B14157" w:rsidR="00B65A50" w:rsidRPr="00F041AD" w:rsidRDefault="00B65A50" w:rsidP="00461FE2">
      <w:pPr>
        <w:pStyle w:val="5BodyText"/>
        <w:rPr>
          <w:rFonts w:asciiTheme="majorHAnsi" w:hAnsiTheme="majorHAnsi"/>
          <w:b/>
          <w:i/>
          <w:color w:val="333333" w:themeColor="background1"/>
        </w:rPr>
      </w:pPr>
      <w:r w:rsidRPr="00F041AD">
        <w:rPr>
          <w:rFonts w:asciiTheme="majorHAnsi" w:hAnsiTheme="majorHAnsi"/>
          <w:color w:val="333333" w:themeColor="background1"/>
        </w:rPr>
        <w:t>This strategy outlines steps necessary to expand utility-sponsored green energy programs in Minnesota, in order to satisfy increasing demand for green energy from Minnesota businesses and households and promote renewable energy investment.</w:t>
      </w:r>
    </w:p>
    <w:p w14:paraId="14180D4A" w14:textId="77777777" w:rsidR="00B65A50" w:rsidRPr="00F041AD" w:rsidRDefault="00B65A50" w:rsidP="00461FE2">
      <w:pPr>
        <w:pStyle w:val="5BodyText"/>
        <w:rPr>
          <w:b/>
          <w:i/>
          <w:color w:val="333333" w:themeColor="background1"/>
        </w:rPr>
      </w:pPr>
      <w:r w:rsidRPr="00F041AD">
        <w:rPr>
          <w:b/>
          <w:i/>
          <w:color w:val="333333" w:themeColor="background1"/>
        </w:rPr>
        <w:t>Specific actions for strategy implementation</w:t>
      </w:r>
    </w:p>
    <w:p w14:paraId="1A2A758B" w14:textId="0585986B" w:rsidR="00B65A50" w:rsidRPr="00F041AD" w:rsidRDefault="00B65A50" w:rsidP="00A52E18">
      <w:pPr>
        <w:pStyle w:val="5BodyText"/>
        <w:numPr>
          <w:ilvl w:val="0"/>
          <w:numId w:val="48"/>
        </w:numPr>
        <w:rPr>
          <w:color w:val="333333" w:themeColor="background1"/>
        </w:rPr>
      </w:pPr>
      <w:r w:rsidRPr="00F041AD">
        <w:rPr>
          <w:b/>
          <w:color w:val="333333" w:themeColor="background1"/>
        </w:rPr>
        <w:t>Develop and pilot green power options to fit customers’ needs.</w:t>
      </w:r>
      <w:r w:rsidRPr="00F041AD">
        <w:rPr>
          <w:b/>
          <w:color w:val="333333" w:themeColor="background1"/>
        </w:rPr>
        <w:br/>
      </w:r>
      <w:r w:rsidRPr="00F041AD">
        <w:rPr>
          <w:color w:val="333333" w:themeColor="background1"/>
        </w:rPr>
        <w:t xml:space="preserve">Electric utilities may expand current green power offerings and create new ones to meet expanding customer needs. Specific customer needs should be addressed, including cost performance (i.e. cost-effective green energy programs, including those with fixed-price attributes) and additionality (meaning that the purchase of green energy must be linked to new renewable energy project construction). </w:t>
      </w:r>
      <w:r w:rsidRPr="00F041AD">
        <w:rPr>
          <w:color w:val="333333" w:themeColor="background1"/>
        </w:rPr>
        <w:br/>
      </w:r>
      <w:r w:rsidRPr="00F041AD">
        <w:rPr>
          <w:color w:val="333333" w:themeColor="background1"/>
        </w:rPr>
        <w:br/>
      </w:r>
      <w:r w:rsidRPr="00F041AD">
        <w:rPr>
          <w:b/>
          <w:color w:val="333333" w:themeColor="background1"/>
        </w:rPr>
        <w:t xml:space="preserve">Champions/Key Participants: </w:t>
      </w:r>
      <w:r w:rsidRPr="00F041AD">
        <w:rPr>
          <w:b/>
          <w:color w:val="333333" w:themeColor="background1"/>
        </w:rPr>
        <w:br/>
      </w:r>
      <w:r w:rsidRPr="00F041AD">
        <w:rPr>
          <w:color w:val="333333" w:themeColor="background1"/>
        </w:rPr>
        <w:t>- e21</w:t>
      </w:r>
      <w:r w:rsidRPr="00F041AD">
        <w:rPr>
          <w:color w:val="333333" w:themeColor="background1"/>
        </w:rPr>
        <w:br/>
        <w:t xml:space="preserve">- </w:t>
      </w:r>
      <w:r w:rsidRPr="00F041AD">
        <w:rPr>
          <w:color w:val="333333" w:themeColor="background1"/>
          <w:u w:val="single"/>
        </w:rPr>
        <w:t>Xcel Energy</w:t>
      </w:r>
      <w:r w:rsidRPr="00F041AD">
        <w:rPr>
          <w:color w:val="333333" w:themeColor="background1"/>
        </w:rPr>
        <w:t xml:space="preserve"> offers </w:t>
      </w:r>
      <w:proofErr w:type="spellStart"/>
      <w:r w:rsidRPr="00F041AD">
        <w:rPr>
          <w:color w:val="333333" w:themeColor="background1"/>
        </w:rPr>
        <w:t>WindSource</w:t>
      </w:r>
      <w:proofErr w:type="spellEnd"/>
      <w:r w:rsidRPr="00F041AD">
        <w:rPr>
          <w:color w:val="333333" w:themeColor="background1"/>
        </w:rPr>
        <w:t xml:space="preserve"> and has developed  Renewable*Connect , currently pending Public Utilities Commission review.</w:t>
      </w:r>
      <w:r w:rsidRPr="00F041AD">
        <w:rPr>
          <w:color w:val="333333" w:themeColor="background1"/>
        </w:rPr>
        <w:br/>
        <w:t xml:space="preserve">- </w:t>
      </w:r>
      <w:r w:rsidRPr="00F041AD">
        <w:rPr>
          <w:color w:val="333333" w:themeColor="background1"/>
          <w:u w:val="single"/>
        </w:rPr>
        <w:t>Great River Energy</w:t>
      </w:r>
      <w:r w:rsidRPr="00F041AD">
        <w:rPr>
          <w:color w:val="333333" w:themeColor="background1"/>
        </w:rPr>
        <w:t xml:space="preserve"> was the first MN utility to offer green pricing programs and has continued to develop a variety of green power products including Wellspring wind, Wellspring solar, and Revolt for electric vehicles.</w:t>
      </w:r>
    </w:p>
    <w:p w14:paraId="69EC1927" w14:textId="77777777" w:rsidR="00B65A50" w:rsidRPr="00F041AD" w:rsidRDefault="00B65A50" w:rsidP="00091DCA">
      <w:pPr>
        <w:pStyle w:val="5BodyText"/>
        <w:rPr>
          <w:color w:val="333333" w:themeColor="background1"/>
        </w:rPr>
      </w:pPr>
    </w:p>
    <w:p w14:paraId="2BFD9351" w14:textId="1BA84113" w:rsidR="00B65A50" w:rsidRPr="00F041AD" w:rsidRDefault="00B65A50" w:rsidP="00A52E18">
      <w:pPr>
        <w:pStyle w:val="5BodyText"/>
        <w:numPr>
          <w:ilvl w:val="0"/>
          <w:numId w:val="48"/>
        </w:numPr>
        <w:rPr>
          <w:color w:val="333333" w:themeColor="background1"/>
        </w:rPr>
      </w:pPr>
      <w:r w:rsidRPr="00F041AD">
        <w:rPr>
          <w:b/>
          <w:color w:val="333333" w:themeColor="background1"/>
        </w:rPr>
        <w:lastRenderedPageBreak/>
        <w:t>Educate customers about available programs</w:t>
      </w:r>
      <w:r w:rsidRPr="00F041AD">
        <w:rPr>
          <w:color w:val="333333" w:themeColor="background1"/>
        </w:rPr>
        <w:t>.</w:t>
      </w:r>
      <w:r w:rsidRPr="00F041AD">
        <w:rPr>
          <w:color w:val="333333" w:themeColor="background1"/>
        </w:rPr>
        <w:br/>
        <w:t>Utilities can better market their green energy pricing programs to educate the customers about the benefits of enrolling. This education may also include information for comparison with other options for meeting renewable energy demand, such as on-site installation (e.g. rooftop PV). State agencies can inform Minnesotans about programs available to them.</w:t>
      </w:r>
      <w:r w:rsidRPr="00F041AD">
        <w:rPr>
          <w:color w:val="333333" w:themeColor="background1"/>
        </w:rPr>
        <w:br/>
      </w:r>
      <w:r w:rsidRPr="00F041AD">
        <w:rPr>
          <w:color w:val="333333" w:themeColor="background1"/>
        </w:rPr>
        <w:br/>
      </w:r>
      <w:r w:rsidRPr="00F041AD">
        <w:rPr>
          <w:b/>
          <w:color w:val="333333" w:themeColor="background1"/>
        </w:rPr>
        <w:t xml:space="preserve">Champions/ Key Participants: </w:t>
      </w:r>
      <w:r w:rsidRPr="00F041AD">
        <w:rPr>
          <w:b/>
          <w:color w:val="333333" w:themeColor="background1"/>
        </w:rPr>
        <w:br/>
      </w:r>
      <w:r w:rsidRPr="00F041AD">
        <w:rPr>
          <w:color w:val="333333" w:themeColor="background1"/>
        </w:rPr>
        <w:t>- Minnesota Pollution Control Agency</w:t>
      </w:r>
      <w:r w:rsidRPr="00F041AD">
        <w:rPr>
          <w:color w:val="333333" w:themeColor="background1"/>
        </w:rPr>
        <w:br/>
        <w:t>- Minnesota Department of Commerce</w:t>
      </w:r>
      <w:r w:rsidRPr="00F041AD">
        <w:rPr>
          <w:color w:val="333333" w:themeColor="background1"/>
        </w:rPr>
        <w:br/>
        <w:t>- CERTs</w:t>
      </w:r>
      <w:r w:rsidRPr="00F041AD">
        <w:rPr>
          <w:color w:val="333333" w:themeColor="background1"/>
        </w:rPr>
        <w:br/>
        <w:t>- Minnesota utilities</w:t>
      </w:r>
      <w:r w:rsidRPr="00F041AD">
        <w:rPr>
          <w:color w:val="333333" w:themeColor="background1"/>
        </w:rPr>
        <w:br/>
      </w:r>
    </w:p>
    <w:p w14:paraId="55178F3D" w14:textId="62B353F0" w:rsidR="00B65A50" w:rsidRPr="00F041AD" w:rsidRDefault="00B65A50" w:rsidP="00A52E18">
      <w:pPr>
        <w:pStyle w:val="5BodyText"/>
        <w:numPr>
          <w:ilvl w:val="0"/>
          <w:numId w:val="48"/>
        </w:numPr>
        <w:rPr>
          <w:b/>
          <w:i/>
          <w:color w:val="333333" w:themeColor="background1"/>
        </w:rPr>
      </w:pPr>
      <w:r w:rsidRPr="00F041AD">
        <w:rPr>
          <w:b/>
          <w:color w:val="333333" w:themeColor="background1"/>
        </w:rPr>
        <w:t>Consider offering a voluntary green pricing pilot program for renewable natural gas.</w:t>
      </w:r>
      <w:r w:rsidRPr="00F041AD">
        <w:rPr>
          <w:b/>
          <w:color w:val="333333" w:themeColor="background1"/>
        </w:rPr>
        <w:br/>
      </w:r>
      <w:r w:rsidRPr="00F041AD">
        <w:rPr>
          <w:color w:val="333333" w:themeColor="background1"/>
        </w:rPr>
        <w:t>A complement to renewable natural gas integration into the existing natural gas distribution system is a system for tracking and retiring renewable natural gas credits. This type of system would mirror the tracking systems already in place for renewable electricity. Tracking renewable natural gas credits could be an added function of current renewable electricity credit tracking systems.</w:t>
      </w:r>
      <w:r w:rsidRPr="00F041AD">
        <w:rPr>
          <w:color w:val="333333" w:themeColor="background1"/>
        </w:rPr>
        <w:br/>
      </w:r>
      <w:r w:rsidRPr="00F041AD">
        <w:rPr>
          <w:color w:val="333333" w:themeColor="background1"/>
        </w:rPr>
        <w:br/>
      </w:r>
      <w:r w:rsidRPr="00F041AD">
        <w:rPr>
          <w:b/>
          <w:color w:val="333333" w:themeColor="background1"/>
        </w:rPr>
        <w:t xml:space="preserve">Champions/Key Participants: </w:t>
      </w:r>
      <w:r w:rsidRPr="00F041AD">
        <w:rPr>
          <w:b/>
          <w:color w:val="333333" w:themeColor="background1"/>
        </w:rPr>
        <w:br/>
      </w:r>
      <w:r w:rsidRPr="00F041AD">
        <w:rPr>
          <w:color w:val="333333" w:themeColor="background1"/>
        </w:rPr>
        <w:t xml:space="preserve">- Minnesota Department of Commerce </w:t>
      </w:r>
      <w:r w:rsidRPr="00F041AD">
        <w:rPr>
          <w:color w:val="333333" w:themeColor="background1"/>
        </w:rPr>
        <w:br/>
        <w:t>- Great Plains Institute</w:t>
      </w:r>
      <w:r w:rsidRPr="00F041AD">
        <w:rPr>
          <w:color w:val="333333" w:themeColor="background1"/>
        </w:rPr>
        <w:br/>
        <w:t>- Midwest Renewable Energy Tracking System</w:t>
      </w:r>
      <w:r w:rsidRPr="00F041AD">
        <w:rPr>
          <w:color w:val="333333" w:themeColor="background1"/>
        </w:rPr>
        <w:br/>
        <w:t>- Minnesota utilities</w:t>
      </w:r>
      <w:r w:rsidRPr="00F041AD">
        <w:rPr>
          <w:color w:val="333333" w:themeColor="background1"/>
        </w:rPr>
        <w:br/>
        <w:t>- Metropolitan Council</w:t>
      </w:r>
      <w:r w:rsidRPr="00F041AD">
        <w:rPr>
          <w:color w:val="333333" w:themeColor="background1"/>
        </w:rPr>
        <w:br/>
      </w:r>
    </w:p>
    <w:p w14:paraId="3652F0CD" w14:textId="77777777" w:rsidR="00B65A50" w:rsidRPr="00F041AD" w:rsidRDefault="00B65A50" w:rsidP="00461FE2">
      <w:pPr>
        <w:pStyle w:val="5BodyText"/>
        <w:rPr>
          <w:b/>
          <w:i/>
          <w:color w:val="333333" w:themeColor="background1"/>
        </w:rPr>
      </w:pPr>
      <w:r w:rsidRPr="00F041AD">
        <w:rPr>
          <w:b/>
          <w:i/>
          <w:color w:val="333333" w:themeColor="background1"/>
        </w:rPr>
        <w:t>Success factors</w:t>
      </w:r>
    </w:p>
    <w:p w14:paraId="3CA7C2BF" w14:textId="77777777" w:rsidR="00B65A50" w:rsidRPr="00F041AD" w:rsidRDefault="00B65A50" w:rsidP="00A52E18">
      <w:pPr>
        <w:pStyle w:val="5BodyText"/>
        <w:numPr>
          <w:ilvl w:val="0"/>
          <w:numId w:val="49"/>
        </w:numPr>
        <w:rPr>
          <w:color w:val="333333" w:themeColor="background1"/>
        </w:rPr>
      </w:pPr>
      <w:r w:rsidRPr="00F041AD">
        <w:rPr>
          <w:b/>
          <w:color w:val="333333" w:themeColor="background1"/>
        </w:rPr>
        <w:t xml:space="preserve">Programs offered meet the needs of different customer groups. </w:t>
      </w:r>
      <w:r w:rsidRPr="00F041AD">
        <w:rPr>
          <w:color w:val="333333" w:themeColor="background1"/>
        </w:rPr>
        <w:t>Key customer groups include corporate customers as well as mass-market groups. Specifically, many large corporate buyers have signed onto the Corporate Renewable Energy Buyers’ Principles</w:t>
      </w:r>
      <w:r w:rsidRPr="00F041AD">
        <w:rPr>
          <w:color w:val="333333" w:themeColor="background1"/>
          <w:vertAlign w:val="superscript"/>
        </w:rPr>
        <w:endnoteReference w:id="156"/>
      </w:r>
      <w:r w:rsidRPr="00F041AD">
        <w:rPr>
          <w:color w:val="333333" w:themeColor="background1"/>
        </w:rPr>
        <w:t>, which emphasizes criteria for successful tariffs including choice, cost-competitiveness, fixed price contracts, and additionality.</w:t>
      </w:r>
      <w:r w:rsidRPr="00F041AD">
        <w:rPr>
          <w:color w:val="333333" w:themeColor="background1"/>
        </w:rPr>
        <w:br/>
      </w:r>
    </w:p>
    <w:p w14:paraId="26ECBF04" w14:textId="0AE6F4A7" w:rsidR="00B65A50" w:rsidRPr="00F041AD" w:rsidRDefault="00B65A50" w:rsidP="00A52E18">
      <w:pPr>
        <w:pStyle w:val="5BodyText"/>
        <w:numPr>
          <w:ilvl w:val="0"/>
          <w:numId w:val="49"/>
        </w:numPr>
        <w:rPr>
          <w:b/>
          <w:i/>
          <w:color w:val="333333" w:themeColor="background1"/>
        </w:rPr>
      </w:pPr>
      <w:r w:rsidRPr="00F041AD">
        <w:rPr>
          <w:b/>
          <w:color w:val="333333" w:themeColor="background1"/>
        </w:rPr>
        <w:t>Utility programs offer appropriate price signals to consumers.</w:t>
      </w:r>
      <w:r w:rsidRPr="00F041AD">
        <w:rPr>
          <w:color w:val="333333" w:themeColor="background1"/>
        </w:rPr>
        <w:t xml:space="preserve"> Price signals should reflect the costs and benefits of procuring renewable resources.</w:t>
      </w:r>
    </w:p>
    <w:p w14:paraId="6E7A4EE5" w14:textId="77777777" w:rsidR="00B65A50" w:rsidRPr="00F041AD" w:rsidRDefault="00B65A50" w:rsidP="00461FE2">
      <w:pPr>
        <w:pStyle w:val="5BodyText"/>
        <w:rPr>
          <w:b/>
          <w:i/>
          <w:color w:val="333333" w:themeColor="background1"/>
        </w:rPr>
      </w:pPr>
    </w:p>
    <w:p w14:paraId="6368CE6C" w14:textId="77777777" w:rsidR="00B65A50" w:rsidRPr="00F041AD" w:rsidRDefault="00B65A50" w:rsidP="00461FE2">
      <w:pPr>
        <w:pStyle w:val="5BodyText"/>
        <w:rPr>
          <w:b/>
          <w:i/>
          <w:color w:val="333333" w:themeColor="background1"/>
        </w:rPr>
      </w:pPr>
      <w:r w:rsidRPr="00F041AD">
        <w:rPr>
          <w:b/>
          <w:i/>
          <w:color w:val="333333" w:themeColor="background1"/>
        </w:rPr>
        <w:t>Indicators of strategy success</w:t>
      </w:r>
    </w:p>
    <w:p w14:paraId="11E241D5" w14:textId="77777777" w:rsidR="00B65A50" w:rsidRPr="00F041AD" w:rsidRDefault="00B65A50" w:rsidP="00A52E18">
      <w:pPr>
        <w:pStyle w:val="5BodyText"/>
        <w:numPr>
          <w:ilvl w:val="0"/>
          <w:numId w:val="50"/>
        </w:numPr>
        <w:rPr>
          <w:color w:val="333333" w:themeColor="background1"/>
        </w:rPr>
      </w:pPr>
      <w:r w:rsidRPr="00F041AD">
        <w:rPr>
          <w:color w:val="333333" w:themeColor="background1"/>
        </w:rPr>
        <w:t>Customer participation rate (percent of eligible customers)</w:t>
      </w:r>
    </w:p>
    <w:p w14:paraId="30043DA7" w14:textId="77777777" w:rsidR="00B65A50" w:rsidRPr="00F041AD" w:rsidRDefault="00B65A50" w:rsidP="00A52E18">
      <w:pPr>
        <w:pStyle w:val="5BodyText"/>
        <w:numPr>
          <w:ilvl w:val="0"/>
          <w:numId w:val="50"/>
        </w:numPr>
        <w:rPr>
          <w:color w:val="333333" w:themeColor="background1"/>
        </w:rPr>
      </w:pPr>
      <w:r w:rsidRPr="00F041AD">
        <w:rPr>
          <w:color w:val="333333" w:themeColor="background1"/>
        </w:rPr>
        <w:lastRenderedPageBreak/>
        <w:t xml:space="preserve">MWh or </w:t>
      </w:r>
      <w:proofErr w:type="spellStart"/>
      <w:r w:rsidRPr="00F041AD">
        <w:rPr>
          <w:color w:val="333333" w:themeColor="background1"/>
        </w:rPr>
        <w:t>mmBTU</w:t>
      </w:r>
      <w:proofErr w:type="spellEnd"/>
      <w:r w:rsidRPr="00F041AD">
        <w:rPr>
          <w:color w:val="333333" w:themeColor="background1"/>
        </w:rPr>
        <w:t xml:space="preserve"> renewable energy delivered through programs</w:t>
      </w:r>
    </w:p>
    <w:p w14:paraId="46C3FA7F" w14:textId="77777777" w:rsidR="00B65A50" w:rsidRPr="00F041AD" w:rsidRDefault="00B65A50" w:rsidP="00461FE2">
      <w:pPr>
        <w:pStyle w:val="5BodyText"/>
        <w:rPr>
          <w:b/>
          <w:i/>
          <w:color w:val="333333" w:themeColor="background1"/>
        </w:rPr>
      </w:pPr>
    </w:p>
    <w:p w14:paraId="676DBE3D" w14:textId="77777777" w:rsidR="00B65A50" w:rsidRPr="00F041AD" w:rsidRDefault="00B65A50" w:rsidP="00461FE2">
      <w:pPr>
        <w:pStyle w:val="5BodyText"/>
        <w:rPr>
          <w:b/>
          <w:i/>
          <w:color w:val="333333" w:themeColor="background1"/>
        </w:rPr>
      </w:pPr>
      <w:r w:rsidRPr="00F041AD">
        <w:rPr>
          <w:b/>
          <w:i/>
          <w:color w:val="333333" w:themeColor="background1"/>
        </w:rPr>
        <w:t>Cross-sector opportunities and synergies</w:t>
      </w:r>
    </w:p>
    <w:p w14:paraId="425C2558" w14:textId="77777777" w:rsidR="00B65A50" w:rsidRPr="00F041AD" w:rsidRDefault="00B65A50" w:rsidP="00A52E18">
      <w:pPr>
        <w:pStyle w:val="5BodyText"/>
        <w:numPr>
          <w:ilvl w:val="0"/>
          <w:numId w:val="51"/>
        </w:numPr>
        <w:rPr>
          <w:color w:val="333333" w:themeColor="background1"/>
        </w:rPr>
      </w:pPr>
      <w:r w:rsidRPr="00F041AD">
        <w:rPr>
          <w:color w:val="333333" w:themeColor="background1"/>
        </w:rPr>
        <w:t xml:space="preserve">Renewable natural gas offerings can help power </w:t>
      </w:r>
      <w:r w:rsidRPr="00F041AD">
        <w:rPr>
          <w:b/>
          <w:color w:val="333333" w:themeColor="background1"/>
        </w:rPr>
        <w:t>alternative fuel vehicles</w:t>
      </w:r>
      <w:r w:rsidRPr="00F041AD">
        <w:rPr>
          <w:color w:val="333333" w:themeColor="background1"/>
        </w:rPr>
        <w:t>.</w:t>
      </w:r>
      <w:r w:rsidRPr="00F041AD">
        <w:rPr>
          <w:color w:val="333333" w:themeColor="background1"/>
        </w:rPr>
        <w:br/>
      </w:r>
    </w:p>
    <w:p w14:paraId="641170C4" w14:textId="76531753" w:rsidR="00B65A50" w:rsidRPr="00F041AD" w:rsidRDefault="00B65A50" w:rsidP="00A52E18">
      <w:pPr>
        <w:pStyle w:val="5BodyText"/>
        <w:numPr>
          <w:ilvl w:val="0"/>
          <w:numId w:val="51"/>
        </w:numPr>
        <w:rPr>
          <w:color w:val="333333" w:themeColor="background1"/>
        </w:rPr>
      </w:pPr>
      <w:r w:rsidRPr="00F041AD">
        <w:rPr>
          <w:color w:val="333333" w:themeColor="background1"/>
        </w:rPr>
        <w:t xml:space="preserve">Green power programs used for </w:t>
      </w:r>
      <w:r w:rsidRPr="00F041AD">
        <w:rPr>
          <w:b/>
          <w:color w:val="333333" w:themeColor="background1"/>
        </w:rPr>
        <w:t>electric vehicles</w:t>
      </w:r>
      <w:r w:rsidRPr="00F041AD">
        <w:rPr>
          <w:color w:val="333333" w:themeColor="background1"/>
        </w:rPr>
        <w:t xml:space="preserve"> can provide low-carbon energy for transportation.</w:t>
      </w:r>
      <w:r w:rsidRPr="00F041AD">
        <w:rPr>
          <w:color w:val="333333" w:themeColor="background1"/>
        </w:rPr>
        <w:br/>
      </w:r>
    </w:p>
    <w:p w14:paraId="00AC7896" w14:textId="0C1FFA34" w:rsidR="00B65A50" w:rsidRPr="00F041AD" w:rsidRDefault="00B65A50" w:rsidP="00A52E18">
      <w:pPr>
        <w:pStyle w:val="5BodyText"/>
        <w:numPr>
          <w:ilvl w:val="0"/>
          <w:numId w:val="51"/>
        </w:numPr>
        <w:rPr>
          <w:b/>
          <w:i/>
          <w:color w:val="333333" w:themeColor="background1"/>
        </w:rPr>
      </w:pPr>
      <w:r w:rsidRPr="00F041AD">
        <w:rPr>
          <w:b/>
          <w:color w:val="333333" w:themeColor="background1"/>
        </w:rPr>
        <w:t xml:space="preserve">Anaerobic digestion </w:t>
      </w:r>
      <w:r w:rsidRPr="00F041AD">
        <w:rPr>
          <w:color w:val="333333" w:themeColor="background1"/>
        </w:rPr>
        <w:t>can provide renewable natural gas to be sold through green energy programs.</w:t>
      </w:r>
    </w:p>
    <w:p w14:paraId="78281DC5" w14:textId="77777777" w:rsidR="00B65A50" w:rsidRPr="00F041AD" w:rsidRDefault="00B65A50" w:rsidP="00461FE2">
      <w:pPr>
        <w:pStyle w:val="5BodyText"/>
        <w:rPr>
          <w:b/>
          <w:i/>
          <w:color w:val="333333" w:themeColor="background1"/>
        </w:rPr>
      </w:pPr>
    </w:p>
    <w:p w14:paraId="360B192F" w14:textId="77777777" w:rsidR="00B65A50" w:rsidRPr="00F041AD" w:rsidRDefault="00B65A50" w:rsidP="00461FE2">
      <w:pPr>
        <w:pStyle w:val="5BodyText"/>
        <w:rPr>
          <w:b/>
          <w:i/>
          <w:color w:val="333333" w:themeColor="background1"/>
        </w:rPr>
      </w:pPr>
      <w:r w:rsidRPr="00F041AD">
        <w:rPr>
          <w:b/>
          <w:i/>
          <w:color w:val="333333" w:themeColor="background1"/>
        </w:rPr>
        <w:t>Ongoing Minnesota initiatives</w:t>
      </w:r>
    </w:p>
    <w:p w14:paraId="36C05348" w14:textId="77777777" w:rsidR="00B65A50" w:rsidRPr="00F041AD" w:rsidRDefault="00B65A50" w:rsidP="00A52E18">
      <w:pPr>
        <w:pStyle w:val="5BodyText"/>
        <w:numPr>
          <w:ilvl w:val="0"/>
          <w:numId w:val="52"/>
        </w:numPr>
        <w:rPr>
          <w:rFonts w:asciiTheme="majorHAnsi" w:hAnsiTheme="majorHAnsi"/>
          <w:color w:val="333333" w:themeColor="background1"/>
        </w:rPr>
      </w:pPr>
      <w:r w:rsidRPr="00F041AD">
        <w:rPr>
          <w:rFonts w:asciiTheme="majorHAnsi" w:hAnsiTheme="majorHAnsi"/>
          <w:color w:val="333333" w:themeColor="background1"/>
        </w:rPr>
        <w:t xml:space="preserve">The US DOE maintains </w:t>
      </w:r>
      <w:hyperlink r:id="rId104" w:history="1">
        <w:r w:rsidRPr="00F041AD">
          <w:rPr>
            <w:rStyle w:val="Hyperlink"/>
            <w:rFonts w:asciiTheme="majorHAnsi" w:hAnsiTheme="majorHAnsi"/>
            <w:color w:val="333333" w:themeColor="background1"/>
          </w:rPr>
          <w:t>a list</w:t>
        </w:r>
      </w:hyperlink>
      <w:r w:rsidRPr="00F041AD">
        <w:rPr>
          <w:rFonts w:asciiTheme="majorHAnsi" w:hAnsiTheme="majorHAnsi"/>
          <w:color w:val="333333" w:themeColor="background1"/>
        </w:rPr>
        <w:t xml:space="preserve"> of green power programs available from Minnesota utilities.</w:t>
      </w:r>
      <w:r w:rsidRPr="00F041AD">
        <w:rPr>
          <w:rStyle w:val="EndnoteReference"/>
          <w:rFonts w:asciiTheme="majorHAnsi" w:hAnsiTheme="majorHAnsi"/>
          <w:color w:val="333333" w:themeColor="background1"/>
        </w:rPr>
        <w:endnoteReference w:id="157"/>
      </w:r>
    </w:p>
    <w:p w14:paraId="0B47B066" w14:textId="77777777" w:rsidR="00B65A50" w:rsidRPr="00F041AD" w:rsidRDefault="00B65A50" w:rsidP="00A52E18">
      <w:pPr>
        <w:pStyle w:val="5BodyText"/>
        <w:rPr>
          <w:rFonts w:asciiTheme="majorHAnsi" w:hAnsiTheme="majorHAnsi"/>
          <w:color w:val="333333" w:themeColor="background1"/>
        </w:rPr>
      </w:pPr>
    </w:p>
    <w:p w14:paraId="5846F838" w14:textId="77777777" w:rsidR="00B65A50" w:rsidRPr="00F041AD" w:rsidRDefault="00B65A50" w:rsidP="00A52E18">
      <w:pPr>
        <w:pStyle w:val="5BodyText"/>
        <w:numPr>
          <w:ilvl w:val="0"/>
          <w:numId w:val="52"/>
        </w:numPr>
        <w:rPr>
          <w:rFonts w:asciiTheme="majorHAnsi" w:hAnsiTheme="majorHAnsi"/>
          <w:color w:val="333333" w:themeColor="background1"/>
        </w:rPr>
      </w:pPr>
      <w:r w:rsidRPr="00F041AD">
        <w:rPr>
          <w:rFonts w:asciiTheme="majorHAnsi" w:hAnsiTheme="majorHAnsi"/>
          <w:color w:val="333333" w:themeColor="background1"/>
        </w:rPr>
        <w:t xml:space="preserve">Xcel submitted </w:t>
      </w:r>
      <w:hyperlink r:id="rId105" w:history="1">
        <w:r w:rsidRPr="00F041AD">
          <w:rPr>
            <w:rStyle w:val="Hyperlink"/>
            <w:rFonts w:asciiTheme="majorHAnsi" w:hAnsiTheme="majorHAnsi"/>
            <w:color w:val="333333" w:themeColor="background1"/>
          </w:rPr>
          <w:t>a new green tariff proposal</w:t>
        </w:r>
      </w:hyperlink>
      <w:r w:rsidRPr="00F041AD">
        <w:rPr>
          <w:rFonts w:asciiTheme="majorHAnsi" w:hAnsiTheme="majorHAnsi"/>
          <w:color w:val="333333" w:themeColor="background1"/>
        </w:rPr>
        <w:t xml:space="preserve"> in November 2015 in docket 15-985, allowing customers to access renewable energy at a premium to base rates, but with long-term price guarantees.</w:t>
      </w:r>
      <w:r w:rsidRPr="00F041AD">
        <w:rPr>
          <w:rStyle w:val="EndnoteReference"/>
          <w:rFonts w:asciiTheme="majorHAnsi" w:hAnsiTheme="majorHAnsi"/>
          <w:color w:val="333333" w:themeColor="background1"/>
        </w:rPr>
        <w:endnoteReference w:id="158"/>
      </w:r>
    </w:p>
    <w:p w14:paraId="35AD5AE7" w14:textId="77777777" w:rsidR="00B65A50" w:rsidRPr="00F041AD" w:rsidRDefault="00B65A50" w:rsidP="00A52E18">
      <w:pPr>
        <w:pStyle w:val="5BodyText"/>
        <w:rPr>
          <w:rFonts w:asciiTheme="majorHAnsi" w:hAnsiTheme="majorHAnsi"/>
          <w:color w:val="333333" w:themeColor="background1"/>
        </w:rPr>
      </w:pPr>
    </w:p>
    <w:p w14:paraId="56853299" w14:textId="245120D0" w:rsidR="00B65A50" w:rsidRPr="00F041AD" w:rsidRDefault="00B65A50" w:rsidP="00A52E18">
      <w:pPr>
        <w:pStyle w:val="5BodyText"/>
        <w:numPr>
          <w:ilvl w:val="0"/>
          <w:numId w:val="52"/>
        </w:numPr>
        <w:rPr>
          <w:rFonts w:asciiTheme="majorHAnsi" w:hAnsiTheme="majorHAnsi"/>
          <w:color w:val="333333" w:themeColor="background1"/>
        </w:rPr>
      </w:pPr>
      <w:r w:rsidRPr="00F041AD">
        <w:rPr>
          <w:rFonts w:asciiTheme="majorHAnsi" w:hAnsiTheme="majorHAnsi"/>
          <w:color w:val="333333" w:themeColor="background1"/>
        </w:rPr>
        <w:t xml:space="preserve">The e21 Initiative </w:t>
      </w:r>
      <w:hyperlink r:id="rId106" w:history="1">
        <w:r w:rsidRPr="00F041AD">
          <w:rPr>
            <w:rStyle w:val="Hyperlink"/>
            <w:rFonts w:asciiTheme="majorHAnsi" w:hAnsiTheme="majorHAnsi"/>
            <w:color w:val="333333" w:themeColor="background1"/>
          </w:rPr>
          <w:t>Phase 1 Report</w:t>
        </w:r>
      </w:hyperlink>
      <w:r w:rsidRPr="00F041AD">
        <w:rPr>
          <w:rFonts w:asciiTheme="majorHAnsi" w:hAnsiTheme="majorHAnsi"/>
          <w:color w:val="333333" w:themeColor="background1"/>
        </w:rPr>
        <w:t xml:space="preserve"> recommendations identified the opportunity for Green Tariffs in Minnesota.</w:t>
      </w:r>
      <w:r w:rsidRPr="00F041AD">
        <w:rPr>
          <w:rStyle w:val="EndnoteReference"/>
          <w:rFonts w:asciiTheme="majorHAnsi" w:hAnsiTheme="majorHAnsi"/>
          <w:color w:val="333333" w:themeColor="background1"/>
        </w:rPr>
        <w:endnoteReference w:id="159"/>
      </w:r>
    </w:p>
    <w:p w14:paraId="4EF2F9E3" w14:textId="77777777" w:rsidR="00B65A50" w:rsidRPr="00F041AD" w:rsidRDefault="00B65A50" w:rsidP="00A52E18">
      <w:pPr>
        <w:pStyle w:val="5BodyText"/>
        <w:rPr>
          <w:rFonts w:asciiTheme="majorHAnsi" w:hAnsiTheme="majorHAnsi"/>
          <w:color w:val="333333" w:themeColor="background1"/>
        </w:rPr>
      </w:pPr>
    </w:p>
    <w:p w14:paraId="5A695F4B" w14:textId="77777777" w:rsidR="00B65A50" w:rsidRPr="00F041AD" w:rsidRDefault="00B65A50" w:rsidP="00A52E18">
      <w:pPr>
        <w:pStyle w:val="5BodyText"/>
        <w:numPr>
          <w:ilvl w:val="0"/>
          <w:numId w:val="52"/>
        </w:numPr>
        <w:rPr>
          <w:rFonts w:asciiTheme="majorHAnsi" w:hAnsiTheme="majorHAnsi"/>
          <w:color w:val="333333" w:themeColor="background1"/>
        </w:rPr>
      </w:pPr>
      <w:r w:rsidRPr="00F041AD">
        <w:rPr>
          <w:rFonts w:asciiTheme="majorHAnsi" w:hAnsiTheme="majorHAnsi"/>
          <w:color w:val="333333" w:themeColor="background1"/>
        </w:rPr>
        <w:t xml:space="preserve">In October 2015, the Minnesota Department of Commerce, Division of Energy Resources held a webinar entitled, “ Emerging Trends in Utility Green Power Products.” The </w:t>
      </w:r>
      <w:hyperlink r:id="rId107" w:history="1">
        <w:r w:rsidRPr="00F041AD">
          <w:rPr>
            <w:rStyle w:val="Hyperlink"/>
            <w:rFonts w:asciiTheme="majorHAnsi" w:hAnsiTheme="majorHAnsi"/>
            <w:color w:val="333333" w:themeColor="background1"/>
          </w:rPr>
          <w:t>video</w:t>
        </w:r>
      </w:hyperlink>
      <w:r w:rsidRPr="00F041AD">
        <w:rPr>
          <w:rFonts w:asciiTheme="majorHAnsi" w:hAnsiTheme="majorHAnsi"/>
          <w:color w:val="333333" w:themeColor="background1"/>
        </w:rPr>
        <w:t xml:space="preserve"> and </w:t>
      </w:r>
      <w:hyperlink r:id="rId108" w:history="1">
        <w:r w:rsidRPr="00F041AD">
          <w:rPr>
            <w:rStyle w:val="Hyperlink"/>
            <w:rFonts w:asciiTheme="majorHAnsi" w:hAnsiTheme="majorHAnsi"/>
            <w:color w:val="333333" w:themeColor="background1"/>
          </w:rPr>
          <w:t>slides</w:t>
        </w:r>
      </w:hyperlink>
      <w:r w:rsidRPr="00F041AD">
        <w:rPr>
          <w:rFonts w:asciiTheme="majorHAnsi" w:hAnsiTheme="majorHAnsi"/>
          <w:color w:val="333333" w:themeColor="background1"/>
        </w:rPr>
        <w:t xml:space="preserve"> provide a market overview and highlight specific utility programs and green tariff offerings.</w:t>
      </w:r>
      <w:r w:rsidRPr="00F041AD">
        <w:rPr>
          <w:rStyle w:val="EndnoteReference"/>
          <w:rFonts w:asciiTheme="majorHAnsi" w:hAnsiTheme="majorHAnsi"/>
          <w:color w:val="333333" w:themeColor="background1"/>
        </w:rPr>
        <w:endnoteReference w:id="160"/>
      </w:r>
      <w:r w:rsidRPr="00F041AD">
        <w:rPr>
          <w:rFonts w:asciiTheme="majorHAnsi" w:hAnsiTheme="majorHAnsi"/>
          <w:color w:val="333333" w:themeColor="background1"/>
        </w:rPr>
        <w:t xml:space="preserve"> </w:t>
      </w:r>
      <w:r w:rsidRPr="00F041AD">
        <w:rPr>
          <w:rStyle w:val="EndnoteReference"/>
          <w:rFonts w:asciiTheme="majorHAnsi" w:hAnsiTheme="majorHAnsi"/>
          <w:color w:val="333333" w:themeColor="background1"/>
        </w:rPr>
        <w:endnoteReference w:id="161"/>
      </w:r>
    </w:p>
    <w:p w14:paraId="62D1FB69" w14:textId="77777777" w:rsidR="00B65A50" w:rsidRPr="00F041AD" w:rsidRDefault="00B65A50" w:rsidP="00461FE2">
      <w:pPr>
        <w:pStyle w:val="5BodyText"/>
        <w:rPr>
          <w:b/>
          <w:i/>
          <w:color w:val="333333" w:themeColor="background1"/>
        </w:rPr>
      </w:pPr>
    </w:p>
    <w:p w14:paraId="079D4081" w14:textId="77777777" w:rsidR="00B65A50" w:rsidRPr="00F041AD" w:rsidRDefault="00B65A50" w:rsidP="00461FE2">
      <w:pPr>
        <w:pStyle w:val="5BodyText"/>
        <w:rPr>
          <w:b/>
          <w:i/>
          <w:color w:val="333333" w:themeColor="background1"/>
        </w:rPr>
      </w:pPr>
    </w:p>
    <w:p w14:paraId="2CA6D518" w14:textId="77777777" w:rsidR="00B65A50" w:rsidRPr="00F041AD" w:rsidRDefault="00B65A50" w:rsidP="00461FE2">
      <w:pPr>
        <w:pStyle w:val="5BodyText"/>
        <w:rPr>
          <w:b/>
          <w:i/>
          <w:color w:val="333333" w:themeColor="background1"/>
        </w:rPr>
      </w:pPr>
      <w:r w:rsidRPr="00F041AD">
        <w:rPr>
          <w:b/>
          <w:i/>
          <w:color w:val="333333" w:themeColor="background1"/>
        </w:rPr>
        <w:t>Other related resources</w:t>
      </w:r>
    </w:p>
    <w:p w14:paraId="1EC33E4B" w14:textId="77777777" w:rsidR="00B65A50" w:rsidRPr="00F041AD" w:rsidRDefault="00B65A50" w:rsidP="00F655E6">
      <w:pPr>
        <w:pStyle w:val="5BodyText"/>
        <w:numPr>
          <w:ilvl w:val="0"/>
          <w:numId w:val="53"/>
        </w:numPr>
        <w:rPr>
          <w:rFonts w:asciiTheme="majorHAnsi" w:hAnsiTheme="majorHAnsi"/>
          <w:color w:val="333333" w:themeColor="background1"/>
        </w:rPr>
      </w:pPr>
      <w:r w:rsidRPr="00F041AD">
        <w:rPr>
          <w:rFonts w:asciiTheme="majorHAnsi" w:hAnsiTheme="majorHAnsi"/>
          <w:color w:val="333333" w:themeColor="background1"/>
        </w:rPr>
        <w:t>World Resources Institute’s report, “</w:t>
      </w:r>
      <w:hyperlink r:id="rId109" w:history="1">
        <w:r w:rsidRPr="00F041AD">
          <w:rPr>
            <w:rStyle w:val="Hyperlink"/>
            <w:rFonts w:asciiTheme="majorHAnsi" w:hAnsiTheme="majorHAnsi"/>
            <w:color w:val="333333" w:themeColor="background1"/>
          </w:rPr>
          <w:t>Emerging Green Tariffs in US Regulated Electricity Markets</w:t>
        </w:r>
      </w:hyperlink>
      <w:r w:rsidRPr="00F041AD">
        <w:rPr>
          <w:rFonts w:asciiTheme="majorHAnsi" w:hAnsiTheme="majorHAnsi"/>
          <w:color w:val="333333" w:themeColor="background1"/>
        </w:rPr>
        <w:t>,” discusses electricity customers’ desires for renewable energy, not only to access Renewable Energy Certifications, but also long-term, fixed-price structures.</w:t>
      </w:r>
      <w:r w:rsidRPr="00F041AD">
        <w:rPr>
          <w:rStyle w:val="EndnoteReference"/>
          <w:rFonts w:asciiTheme="majorHAnsi" w:hAnsiTheme="majorHAnsi"/>
          <w:color w:val="333333" w:themeColor="background1"/>
        </w:rPr>
        <w:endnoteReference w:id="162"/>
      </w:r>
    </w:p>
    <w:p w14:paraId="43398E40" w14:textId="77777777" w:rsidR="00B65A50" w:rsidRPr="00F041AD" w:rsidRDefault="00B65A50" w:rsidP="00A22CBB">
      <w:pPr>
        <w:pStyle w:val="5BodyText"/>
        <w:rPr>
          <w:rFonts w:asciiTheme="majorHAnsi" w:hAnsiTheme="majorHAnsi"/>
          <w:color w:val="333333" w:themeColor="background1"/>
        </w:rPr>
      </w:pPr>
    </w:p>
    <w:p w14:paraId="12130046" w14:textId="77777777" w:rsidR="00B65A50" w:rsidRPr="00F041AD" w:rsidRDefault="00B65A50" w:rsidP="00F655E6">
      <w:pPr>
        <w:pStyle w:val="5BodyText"/>
        <w:numPr>
          <w:ilvl w:val="0"/>
          <w:numId w:val="53"/>
        </w:numPr>
        <w:rPr>
          <w:rFonts w:asciiTheme="majorHAnsi" w:hAnsiTheme="majorHAnsi"/>
          <w:color w:val="333333" w:themeColor="background1"/>
        </w:rPr>
      </w:pPr>
      <w:r w:rsidRPr="00F041AD">
        <w:rPr>
          <w:rFonts w:asciiTheme="majorHAnsi" w:hAnsiTheme="majorHAnsi"/>
          <w:color w:val="333333" w:themeColor="background1"/>
        </w:rPr>
        <w:t>The “</w:t>
      </w:r>
      <w:hyperlink r:id="rId110" w:history="1">
        <w:r w:rsidRPr="00F041AD">
          <w:rPr>
            <w:rStyle w:val="Hyperlink"/>
            <w:rFonts w:asciiTheme="majorHAnsi" w:hAnsiTheme="majorHAnsi"/>
            <w:color w:val="333333" w:themeColor="background1"/>
          </w:rPr>
          <w:t>Corporate Renewable Energy Buyers Principles</w:t>
        </w:r>
      </w:hyperlink>
      <w:r w:rsidRPr="00F041AD">
        <w:rPr>
          <w:rFonts w:asciiTheme="majorHAnsi" w:hAnsiTheme="majorHAnsi"/>
          <w:color w:val="333333" w:themeColor="background1"/>
        </w:rPr>
        <w:t>,” published by World Wildlife Fund for Nature and World Resources Institute, communicate the renewable energy products that a number of large corporate buyers would like to purchase.</w:t>
      </w:r>
      <w:r w:rsidRPr="00F041AD">
        <w:rPr>
          <w:rStyle w:val="EndnoteReference"/>
          <w:rFonts w:asciiTheme="majorHAnsi" w:hAnsiTheme="majorHAnsi"/>
          <w:color w:val="333333" w:themeColor="background1"/>
        </w:rPr>
        <w:endnoteReference w:id="163"/>
      </w:r>
    </w:p>
    <w:p w14:paraId="7DFE3ACB" w14:textId="77777777" w:rsidR="00B65A50" w:rsidRPr="00F041AD" w:rsidRDefault="00B65A50" w:rsidP="00A22CBB">
      <w:pPr>
        <w:pStyle w:val="5BodyText"/>
        <w:rPr>
          <w:rFonts w:asciiTheme="majorHAnsi" w:hAnsiTheme="majorHAnsi"/>
          <w:color w:val="333333" w:themeColor="background1"/>
        </w:rPr>
      </w:pPr>
    </w:p>
    <w:p w14:paraId="1D2274E2" w14:textId="6AFAB723" w:rsidR="00B65A50" w:rsidRPr="00F041AD" w:rsidRDefault="00B65A50" w:rsidP="00F655E6">
      <w:pPr>
        <w:pStyle w:val="5BodyText"/>
        <w:numPr>
          <w:ilvl w:val="0"/>
          <w:numId w:val="53"/>
        </w:numPr>
        <w:rPr>
          <w:rFonts w:asciiTheme="majorHAnsi" w:hAnsiTheme="majorHAnsi"/>
          <w:color w:val="333333" w:themeColor="background1"/>
        </w:rPr>
      </w:pPr>
      <w:r w:rsidRPr="00F041AD">
        <w:rPr>
          <w:rFonts w:asciiTheme="majorHAnsi" w:hAnsiTheme="majorHAnsi"/>
          <w:color w:val="333333" w:themeColor="background1"/>
        </w:rPr>
        <w:t>World Resources Institute’s working paper, “</w:t>
      </w:r>
      <w:hyperlink r:id="rId111" w:history="1">
        <w:r w:rsidRPr="00F041AD">
          <w:rPr>
            <w:rStyle w:val="Hyperlink"/>
            <w:rFonts w:asciiTheme="majorHAnsi" w:hAnsiTheme="majorHAnsi"/>
            <w:color w:val="333333" w:themeColor="background1"/>
          </w:rPr>
          <w:t>Above and Beyond: Green Tariff Design for Traditional Utilities</w:t>
        </w:r>
      </w:hyperlink>
      <w:r w:rsidRPr="00F041AD">
        <w:rPr>
          <w:rFonts w:asciiTheme="majorHAnsi" w:hAnsiTheme="majorHAnsi"/>
          <w:color w:val="333333" w:themeColor="background1"/>
        </w:rPr>
        <w:t>,” argues that traditional utilities are positioned to offer renewable energy services with greater flexibility and lower transaction costs than third-parties.</w:t>
      </w:r>
      <w:r w:rsidRPr="00F041AD">
        <w:rPr>
          <w:rStyle w:val="EndnoteReference"/>
          <w:rFonts w:asciiTheme="majorHAnsi" w:hAnsiTheme="majorHAnsi"/>
          <w:color w:val="333333" w:themeColor="background1"/>
        </w:rPr>
        <w:endnoteReference w:id="164"/>
      </w:r>
    </w:p>
    <w:p w14:paraId="4DEAD4BF" w14:textId="77777777" w:rsidR="00B65A50" w:rsidRPr="00F041AD" w:rsidRDefault="00B65A50" w:rsidP="00A22CBB">
      <w:pPr>
        <w:pStyle w:val="5BodyText"/>
        <w:rPr>
          <w:rFonts w:asciiTheme="majorHAnsi" w:hAnsiTheme="majorHAnsi"/>
          <w:color w:val="333333" w:themeColor="background1"/>
        </w:rPr>
      </w:pPr>
    </w:p>
    <w:p w14:paraId="3AEE92F0" w14:textId="44F08AA3" w:rsidR="00B65A50" w:rsidRPr="00F041AD" w:rsidRDefault="00B65A50" w:rsidP="00F655E6">
      <w:pPr>
        <w:pStyle w:val="5BodyText"/>
        <w:numPr>
          <w:ilvl w:val="0"/>
          <w:numId w:val="53"/>
        </w:numPr>
        <w:rPr>
          <w:rFonts w:asciiTheme="majorHAnsi" w:hAnsiTheme="majorHAnsi"/>
          <w:b/>
          <w:i/>
          <w:color w:val="333333" w:themeColor="background1"/>
        </w:rPr>
      </w:pPr>
      <w:r w:rsidRPr="00F041AD">
        <w:rPr>
          <w:rFonts w:asciiTheme="majorHAnsi" w:hAnsiTheme="majorHAnsi"/>
          <w:color w:val="333333" w:themeColor="background1"/>
        </w:rPr>
        <w:lastRenderedPageBreak/>
        <w:t xml:space="preserve">The report, </w:t>
      </w:r>
      <w:hyperlink r:id="rId112" w:history="1">
        <w:r w:rsidRPr="00F041AD">
          <w:rPr>
            <w:rStyle w:val="Hyperlink"/>
            <w:rFonts w:asciiTheme="majorHAnsi" w:hAnsiTheme="majorHAnsi"/>
            <w:i/>
            <w:color w:val="333333" w:themeColor="background1"/>
          </w:rPr>
          <w:t>Power Forward 2.0: How American Companies Are Setting Clean Energy Targets and Capturing Greater Business Value</w:t>
        </w:r>
      </w:hyperlink>
      <w:r w:rsidRPr="00F041AD">
        <w:rPr>
          <w:rFonts w:asciiTheme="majorHAnsi" w:hAnsiTheme="majorHAnsi"/>
          <w:color w:val="333333" w:themeColor="background1"/>
        </w:rPr>
        <w:t>, investigates how Fortune 500 companies are leading in capturing business value by reducing emissions and utilizing cleaner forms of energy.</w:t>
      </w:r>
      <w:r w:rsidRPr="00F041AD">
        <w:rPr>
          <w:rStyle w:val="EndnoteReference"/>
          <w:rFonts w:asciiTheme="majorHAnsi" w:hAnsiTheme="majorHAnsi"/>
          <w:color w:val="333333" w:themeColor="background1"/>
        </w:rPr>
        <w:endnoteReference w:id="165"/>
      </w:r>
    </w:p>
    <w:p w14:paraId="4BD95FF3" w14:textId="6FE462BC" w:rsidR="00FA692C" w:rsidRPr="00F041AD" w:rsidRDefault="00FA692C">
      <w:pPr>
        <w:rPr>
          <w:color w:val="333333" w:themeColor="background1"/>
        </w:rPr>
      </w:pPr>
    </w:p>
    <w:p w14:paraId="1B8C3330" w14:textId="44152E02" w:rsidR="00B65A50" w:rsidRPr="00F041AD" w:rsidRDefault="0039437A" w:rsidP="007F3F44">
      <w:pPr>
        <w:pStyle w:val="6BodyHighlight"/>
        <w:rPr>
          <w:color w:val="333333" w:themeColor="background1"/>
        </w:rPr>
      </w:pPr>
      <w:bookmarkStart w:id="176" w:name="_Toc322961637"/>
      <w:r w:rsidRPr="00F041AD">
        <w:rPr>
          <w:color w:val="333333" w:themeColor="background1"/>
        </w:rPr>
        <w:t>References</w:t>
      </w:r>
      <w:bookmarkEnd w:id="176"/>
      <w:r w:rsidR="00FA692C" w:rsidRPr="00F041AD">
        <w:rPr>
          <w:color w:val="333333" w:themeColor="background1"/>
        </w:rPr>
        <w:br w:type="page"/>
      </w:r>
    </w:p>
    <w:p w14:paraId="2CAAD91D" w14:textId="77777777" w:rsidR="00B65A50" w:rsidRPr="00F041AD" w:rsidRDefault="00B65A50" w:rsidP="007F3F44">
      <w:pPr>
        <w:pStyle w:val="6BodyHighlight"/>
        <w:rPr>
          <w:color w:val="333333" w:themeColor="background1"/>
        </w:rPr>
        <w:sectPr w:rsidR="00B65A50" w:rsidRPr="00F041AD" w:rsidSect="009B0DDD">
          <w:endnotePr>
            <w:numFmt w:val="decimal"/>
          </w:endnotePr>
          <w:pgSz w:w="12240" w:h="15840"/>
          <w:pgMar w:top="1627" w:right="1080" w:bottom="1440" w:left="1080" w:header="720" w:footer="278" w:gutter="0"/>
          <w:cols w:space="720"/>
          <w:titlePg/>
        </w:sectPr>
      </w:pPr>
    </w:p>
    <w:p w14:paraId="1AF71615" w14:textId="77777777" w:rsidR="00B65A50" w:rsidRPr="00F041AD" w:rsidRDefault="00B65A50">
      <w:pPr>
        <w:rPr>
          <w:rFonts w:ascii="Helvetica Neue Medium" w:hAnsi="Helvetica Neue Medium"/>
          <w:color w:val="333333" w:themeColor="background1"/>
        </w:rPr>
      </w:pPr>
      <w:r w:rsidRPr="00F041AD">
        <w:rPr>
          <w:color w:val="333333" w:themeColor="background1"/>
        </w:rPr>
        <w:lastRenderedPageBreak/>
        <w:br w:type="page"/>
      </w:r>
    </w:p>
    <w:p w14:paraId="482DF3DB" w14:textId="66DE09CA" w:rsidR="00B65A50" w:rsidRPr="00F041AD" w:rsidRDefault="00B65A50" w:rsidP="00875F55">
      <w:pPr>
        <w:pStyle w:val="3SectionTitle"/>
        <w:rPr>
          <w:color w:val="333333" w:themeColor="background1"/>
        </w:rPr>
      </w:pPr>
      <w:bookmarkStart w:id="177" w:name="_Toc322933804"/>
      <w:bookmarkStart w:id="178" w:name="_Toc322961638"/>
      <w:bookmarkStart w:id="179" w:name="_Toc322962042"/>
      <w:bookmarkStart w:id="180" w:name="_Toc322962229"/>
      <w:r w:rsidRPr="00F041AD">
        <w:rPr>
          <w:color w:val="333333" w:themeColor="background1"/>
        </w:rPr>
        <w:lastRenderedPageBreak/>
        <w:t>C. Efficient buildings and integrated energy systems</w:t>
      </w:r>
      <w:bookmarkEnd w:id="177"/>
      <w:bookmarkEnd w:id="178"/>
      <w:bookmarkEnd w:id="179"/>
      <w:bookmarkEnd w:id="180"/>
    </w:p>
    <w:p w14:paraId="25F0F58C" w14:textId="77777777" w:rsidR="00B65A50" w:rsidRPr="00F041AD" w:rsidRDefault="00B65A50" w:rsidP="007F3F44">
      <w:pPr>
        <w:pStyle w:val="6BodyHighlight"/>
        <w:rPr>
          <w:color w:val="333333" w:themeColor="background1"/>
        </w:rPr>
      </w:pPr>
    </w:p>
    <w:p w14:paraId="2808BF4C" w14:textId="77777777" w:rsidR="00B65A50" w:rsidRPr="00F041AD" w:rsidRDefault="00B65A50" w:rsidP="007F3F44">
      <w:pPr>
        <w:pStyle w:val="6BodyHighlight"/>
        <w:rPr>
          <w:color w:val="333333" w:themeColor="background1"/>
        </w:rPr>
      </w:pPr>
      <w:bookmarkStart w:id="181" w:name="_Toc322961639"/>
      <w:r w:rsidRPr="00F041AD">
        <w:rPr>
          <w:color w:val="333333" w:themeColor="background1"/>
        </w:rPr>
        <w:t>Section summary</w:t>
      </w:r>
      <w:bookmarkEnd w:id="181"/>
    </w:p>
    <w:p w14:paraId="729F8C5D" w14:textId="77777777" w:rsidR="00B65A50" w:rsidRPr="00F041AD" w:rsidRDefault="00B65A50" w:rsidP="00164A5A">
      <w:pPr>
        <w:pStyle w:val="5BodyText"/>
        <w:rPr>
          <w:color w:val="333333" w:themeColor="background1"/>
        </w:rPr>
      </w:pPr>
      <w:r w:rsidRPr="00F041AD">
        <w:rPr>
          <w:color w:val="333333" w:themeColor="background1"/>
        </w:rPr>
        <w:t>Residential and commercial buildings account for two-thirds of the Minnesota’s electricity use and more than half of natural gas delivered in the state.</w:t>
      </w:r>
      <w:r w:rsidRPr="00F041AD">
        <w:rPr>
          <w:color w:val="333333" w:themeColor="background1"/>
          <w:vertAlign w:val="superscript"/>
        </w:rPr>
        <w:endnoteReference w:id="166"/>
      </w:r>
      <w:r w:rsidRPr="00F041AD">
        <w:rPr>
          <w:color w:val="333333" w:themeColor="background1"/>
        </w:rPr>
        <w:t xml:space="preserve"> Minnesota has demonstrated national leadership and progress toward an energy efficient building stock,</w:t>
      </w:r>
      <w:r w:rsidRPr="00F041AD">
        <w:rPr>
          <w:color w:val="333333" w:themeColor="background1"/>
          <w:vertAlign w:val="superscript"/>
        </w:rPr>
        <w:endnoteReference w:id="167"/>
      </w:r>
      <w:r w:rsidRPr="00F041AD">
        <w:rPr>
          <w:color w:val="333333" w:themeColor="background1"/>
        </w:rPr>
        <w:t xml:space="preserve"> which has set the stage for even more energy savings. This section outlines strategies to increase efficiency in new buildings and existing buildings, and through integrated energy systems. </w:t>
      </w:r>
    </w:p>
    <w:p w14:paraId="6DD8D01B" w14:textId="77777777" w:rsidR="00B65A50" w:rsidRPr="00F041AD" w:rsidRDefault="00B65A50" w:rsidP="00164A5A">
      <w:pPr>
        <w:pStyle w:val="5BodyText"/>
        <w:rPr>
          <w:color w:val="333333" w:themeColor="background1"/>
        </w:rPr>
      </w:pPr>
    </w:p>
    <w:p w14:paraId="31B4939F" w14:textId="77777777" w:rsidR="00B65A50" w:rsidRPr="00F041AD" w:rsidRDefault="00B65A50" w:rsidP="00164A5A">
      <w:pPr>
        <w:pStyle w:val="5BodyText"/>
        <w:rPr>
          <w:b/>
          <w:color w:val="333333" w:themeColor="background1"/>
        </w:rPr>
      </w:pPr>
      <w:r w:rsidRPr="00F041AD">
        <w:rPr>
          <w:b/>
          <w:color w:val="333333" w:themeColor="background1"/>
        </w:rPr>
        <w:t xml:space="preserve">New buildings </w:t>
      </w:r>
    </w:p>
    <w:p w14:paraId="778FFF51" w14:textId="77777777" w:rsidR="00B65A50" w:rsidRPr="00F041AD" w:rsidRDefault="00B65A50" w:rsidP="00164A5A">
      <w:pPr>
        <w:pStyle w:val="5BodyText"/>
        <w:rPr>
          <w:color w:val="333333" w:themeColor="background1"/>
        </w:rPr>
      </w:pPr>
      <w:r w:rsidRPr="00F041AD">
        <w:rPr>
          <w:color w:val="333333" w:themeColor="background1"/>
        </w:rPr>
        <w:t>Often, it is easier to design buildings to be energy efficient right from the start than to upgrade them later. Given the building stock turnover rate in Minnesota, new buildings present an excellent opportunity to design for optimal energy performance from the start. Strategies to improve new building energy performance include:</w:t>
      </w:r>
    </w:p>
    <w:p w14:paraId="6A42CE58" w14:textId="77777777" w:rsidR="00B65A50" w:rsidRPr="00F041AD" w:rsidRDefault="00B65A50" w:rsidP="00164A5A">
      <w:pPr>
        <w:pStyle w:val="5BodyText"/>
        <w:rPr>
          <w:color w:val="333333" w:themeColor="background1"/>
        </w:rPr>
      </w:pPr>
    </w:p>
    <w:p w14:paraId="1FF2F2FE" w14:textId="2BEEACE1" w:rsidR="00B65A50" w:rsidRPr="00F041AD" w:rsidRDefault="00B65A50" w:rsidP="00164A5A">
      <w:pPr>
        <w:pStyle w:val="5BodyText"/>
        <w:numPr>
          <w:ilvl w:val="0"/>
          <w:numId w:val="8"/>
        </w:numPr>
        <w:rPr>
          <w:color w:val="333333" w:themeColor="background1"/>
        </w:rPr>
      </w:pPr>
      <w:r w:rsidRPr="00F041AD">
        <w:rPr>
          <w:b/>
          <w:color w:val="333333" w:themeColor="background1"/>
        </w:rPr>
        <w:t xml:space="preserve">Adopting </w:t>
      </w:r>
      <w:r w:rsidR="00157CD3" w:rsidRPr="00F041AD">
        <w:rPr>
          <w:b/>
          <w:color w:val="333333" w:themeColor="background1"/>
        </w:rPr>
        <w:t>SB 2030 as an optional stretch code</w:t>
      </w:r>
      <w:r w:rsidRPr="00F041AD">
        <w:rPr>
          <w:color w:val="333333" w:themeColor="background1"/>
        </w:rPr>
        <w:t xml:space="preserve"> for new </w:t>
      </w:r>
      <w:r w:rsidR="0056169F" w:rsidRPr="00F041AD">
        <w:rPr>
          <w:color w:val="333333" w:themeColor="background1"/>
        </w:rPr>
        <w:t>buildings and major renovations.</w:t>
      </w:r>
    </w:p>
    <w:p w14:paraId="079CFD6A" w14:textId="77777777" w:rsidR="00B65A50" w:rsidRPr="00F041AD" w:rsidRDefault="00B65A50" w:rsidP="00164A5A">
      <w:pPr>
        <w:pStyle w:val="5BodyText"/>
        <w:rPr>
          <w:color w:val="333333" w:themeColor="background1"/>
        </w:rPr>
      </w:pPr>
    </w:p>
    <w:p w14:paraId="2CB2868E" w14:textId="77777777" w:rsidR="00B65A50" w:rsidRPr="00F041AD" w:rsidRDefault="00B65A50" w:rsidP="00164A5A">
      <w:pPr>
        <w:pStyle w:val="5BodyText"/>
        <w:rPr>
          <w:b/>
          <w:color w:val="333333" w:themeColor="background1"/>
        </w:rPr>
      </w:pPr>
      <w:r w:rsidRPr="00F041AD">
        <w:rPr>
          <w:b/>
          <w:color w:val="333333" w:themeColor="background1"/>
        </w:rPr>
        <w:t>Existing buildings</w:t>
      </w:r>
    </w:p>
    <w:p w14:paraId="57E0AE28" w14:textId="77777777" w:rsidR="00B65A50" w:rsidRPr="00F041AD" w:rsidRDefault="00B65A50" w:rsidP="00164A5A">
      <w:pPr>
        <w:pStyle w:val="5BodyText"/>
        <w:rPr>
          <w:color w:val="333333" w:themeColor="background1"/>
        </w:rPr>
      </w:pPr>
      <w:r w:rsidRPr="00F041AD">
        <w:rPr>
          <w:color w:val="333333" w:themeColor="background1"/>
        </w:rPr>
        <w:t>Nevertheless, given the building stock turnover rate in Minnesota, existing buildings will play a key part in the energy equation over the next decade. Strategies for existing buildings are varied and include:</w:t>
      </w:r>
    </w:p>
    <w:p w14:paraId="618613B0" w14:textId="77777777" w:rsidR="00B65A50" w:rsidRPr="00F041AD" w:rsidRDefault="00B65A50" w:rsidP="00164A5A">
      <w:pPr>
        <w:pStyle w:val="5BodyText"/>
        <w:rPr>
          <w:color w:val="333333" w:themeColor="background1"/>
        </w:rPr>
      </w:pPr>
      <w:r w:rsidRPr="00F041AD">
        <w:rPr>
          <w:color w:val="333333" w:themeColor="background1"/>
        </w:rPr>
        <w:t xml:space="preserve"> </w:t>
      </w:r>
    </w:p>
    <w:p w14:paraId="6FAE3B00" w14:textId="3038B5C8" w:rsidR="00B65A50" w:rsidRPr="00F041AD" w:rsidRDefault="00B65A50" w:rsidP="00164A5A">
      <w:pPr>
        <w:pStyle w:val="5BodyText"/>
        <w:numPr>
          <w:ilvl w:val="0"/>
          <w:numId w:val="9"/>
        </w:numPr>
        <w:rPr>
          <w:color w:val="333333" w:themeColor="background1"/>
        </w:rPr>
      </w:pPr>
      <w:r w:rsidRPr="00F041AD">
        <w:rPr>
          <w:b/>
          <w:color w:val="333333" w:themeColor="background1"/>
        </w:rPr>
        <w:t xml:space="preserve">Enhancing </w:t>
      </w:r>
      <w:r w:rsidR="00172DC8" w:rsidRPr="00F041AD">
        <w:rPr>
          <w:b/>
          <w:color w:val="333333" w:themeColor="background1"/>
        </w:rPr>
        <w:t>energy data access</w:t>
      </w:r>
      <w:r w:rsidRPr="00F041AD">
        <w:rPr>
          <w:color w:val="333333" w:themeColor="background1"/>
        </w:rPr>
        <w:t xml:space="preserve"> through a standardized data protocol in order to unlock energy savings; </w:t>
      </w:r>
    </w:p>
    <w:p w14:paraId="0A1A56B4" w14:textId="7874F06E" w:rsidR="00B65A50" w:rsidRPr="00F041AD" w:rsidRDefault="00F00268" w:rsidP="00164A5A">
      <w:pPr>
        <w:pStyle w:val="5BodyText"/>
        <w:numPr>
          <w:ilvl w:val="0"/>
          <w:numId w:val="9"/>
        </w:numPr>
        <w:rPr>
          <w:color w:val="333333" w:themeColor="background1"/>
        </w:rPr>
      </w:pPr>
      <w:r w:rsidRPr="00F041AD">
        <w:rPr>
          <w:b/>
          <w:color w:val="333333" w:themeColor="background1"/>
        </w:rPr>
        <w:t>Increasing</w:t>
      </w:r>
      <w:r w:rsidR="00B65A50" w:rsidRPr="00F041AD">
        <w:rPr>
          <w:b/>
          <w:color w:val="333333" w:themeColor="background1"/>
        </w:rPr>
        <w:t xml:space="preserve"> the adoption of </w:t>
      </w:r>
      <w:r w:rsidRPr="00F041AD">
        <w:rPr>
          <w:b/>
          <w:color w:val="333333" w:themeColor="background1"/>
        </w:rPr>
        <w:t xml:space="preserve">commercial </w:t>
      </w:r>
      <w:r w:rsidR="00B65A50" w:rsidRPr="00F041AD">
        <w:rPr>
          <w:b/>
          <w:color w:val="333333" w:themeColor="background1"/>
        </w:rPr>
        <w:t xml:space="preserve">energy benchmarking and disclosure programs </w:t>
      </w:r>
      <w:r w:rsidR="00B65A50" w:rsidRPr="00F041AD">
        <w:rPr>
          <w:color w:val="333333" w:themeColor="background1"/>
        </w:rPr>
        <w:t>by educating local governments and tribal nations about the benefits and available software tools;</w:t>
      </w:r>
    </w:p>
    <w:p w14:paraId="2F7CF9DA" w14:textId="77777777" w:rsidR="00B65A50" w:rsidRPr="00F041AD" w:rsidRDefault="00B65A50" w:rsidP="00164A5A">
      <w:pPr>
        <w:pStyle w:val="5BodyText"/>
        <w:numPr>
          <w:ilvl w:val="0"/>
          <w:numId w:val="9"/>
        </w:numPr>
        <w:rPr>
          <w:color w:val="333333" w:themeColor="background1"/>
        </w:rPr>
      </w:pPr>
      <w:r w:rsidRPr="00F041AD">
        <w:rPr>
          <w:b/>
          <w:color w:val="333333" w:themeColor="background1"/>
        </w:rPr>
        <w:t>Improving buildings operations</w:t>
      </w:r>
      <w:r w:rsidRPr="00F041AD">
        <w:rPr>
          <w:color w:val="333333" w:themeColor="background1"/>
        </w:rPr>
        <w:t xml:space="preserve"> through retro-commissioning and ongoing commissioning, building operator training, and advanced buildings controls; and</w:t>
      </w:r>
    </w:p>
    <w:p w14:paraId="6889FE74" w14:textId="2137822F" w:rsidR="00B65A50" w:rsidRPr="00F041AD" w:rsidRDefault="00F00268" w:rsidP="00164A5A">
      <w:pPr>
        <w:pStyle w:val="5BodyText"/>
        <w:numPr>
          <w:ilvl w:val="0"/>
          <w:numId w:val="9"/>
        </w:numPr>
        <w:rPr>
          <w:color w:val="333333" w:themeColor="background1"/>
        </w:rPr>
      </w:pPr>
      <w:r w:rsidRPr="00F041AD">
        <w:rPr>
          <w:b/>
          <w:color w:val="333333" w:themeColor="background1"/>
        </w:rPr>
        <w:t>Promoting</w:t>
      </w:r>
      <w:r w:rsidR="00B65A50" w:rsidRPr="00F041AD">
        <w:rPr>
          <w:b/>
          <w:color w:val="333333" w:themeColor="background1"/>
        </w:rPr>
        <w:t xml:space="preserve"> behavioral </w:t>
      </w:r>
      <w:r w:rsidRPr="00F041AD">
        <w:rPr>
          <w:b/>
          <w:color w:val="333333" w:themeColor="background1"/>
        </w:rPr>
        <w:t xml:space="preserve">energy efficiency </w:t>
      </w:r>
      <w:r w:rsidR="00B65A50" w:rsidRPr="00F041AD">
        <w:rPr>
          <w:b/>
          <w:color w:val="333333" w:themeColor="background1"/>
        </w:rPr>
        <w:t>strategies</w:t>
      </w:r>
      <w:r w:rsidR="00B65A50" w:rsidRPr="00F041AD">
        <w:rPr>
          <w:color w:val="333333" w:themeColor="background1"/>
        </w:rPr>
        <w:t xml:space="preserve"> into energy efficiency programs to capture cost-effective energy reductions and sustain savings over time. </w:t>
      </w:r>
    </w:p>
    <w:p w14:paraId="10F39550" w14:textId="77777777" w:rsidR="00B65A50" w:rsidRPr="00F041AD" w:rsidRDefault="00B65A50" w:rsidP="00164A5A">
      <w:pPr>
        <w:pStyle w:val="5BodyText"/>
        <w:rPr>
          <w:color w:val="333333" w:themeColor="background1"/>
        </w:rPr>
      </w:pPr>
    </w:p>
    <w:p w14:paraId="6BB3EA7D" w14:textId="77777777" w:rsidR="00B65A50" w:rsidRPr="00F041AD" w:rsidRDefault="00B65A50" w:rsidP="00164A5A">
      <w:pPr>
        <w:pStyle w:val="5BodyText"/>
        <w:rPr>
          <w:b/>
          <w:color w:val="333333" w:themeColor="background1"/>
        </w:rPr>
      </w:pPr>
      <w:r w:rsidRPr="00F041AD">
        <w:rPr>
          <w:b/>
          <w:color w:val="333333" w:themeColor="background1"/>
        </w:rPr>
        <w:t>Integrated energy systems</w:t>
      </w:r>
    </w:p>
    <w:p w14:paraId="7037A1BD" w14:textId="77777777" w:rsidR="00B65A50" w:rsidRPr="00F041AD" w:rsidRDefault="00B65A50" w:rsidP="00164A5A">
      <w:pPr>
        <w:pStyle w:val="5BodyText"/>
        <w:rPr>
          <w:color w:val="333333" w:themeColor="background1"/>
        </w:rPr>
      </w:pPr>
      <w:r w:rsidRPr="00F041AD">
        <w:rPr>
          <w:color w:val="333333" w:themeColor="background1"/>
        </w:rPr>
        <w:t xml:space="preserve">Finally, there are opportunities to optimize energy use beyond the individual building level, and to create integrated, highly efficient energy systems across buildings. Strategies for integrated energy systems involve: </w:t>
      </w:r>
    </w:p>
    <w:p w14:paraId="2144B1E5" w14:textId="77777777" w:rsidR="00B65A50" w:rsidRPr="00F041AD" w:rsidRDefault="00B65A50" w:rsidP="00164A5A">
      <w:pPr>
        <w:pStyle w:val="5BodyText"/>
        <w:rPr>
          <w:color w:val="333333" w:themeColor="background1"/>
        </w:rPr>
      </w:pPr>
    </w:p>
    <w:p w14:paraId="636956C3" w14:textId="77777777" w:rsidR="00B65A50" w:rsidRPr="00F041AD" w:rsidRDefault="00B65A50" w:rsidP="00164A5A">
      <w:pPr>
        <w:pStyle w:val="5BodyText"/>
        <w:numPr>
          <w:ilvl w:val="0"/>
          <w:numId w:val="10"/>
        </w:numPr>
        <w:rPr>
          <w:color w:val="333333" w:themeColor="background1"/>
        </w:rPr>
      </w:pPr>
      <w:r w:rsidRPr="00F041AD">
        <w:rPr>
          <w:b/>
          <w:color w:val="333333" w:themeColor="background1"/>
        </w:rPr>
        <w:t>Identifying opportunities for thermal energy grids</w:t>
      </w:r>
      <w:r w:rsidRPr="00F041AD">
        <w:rPr>
          <w:color w:val="333333" w:themeColor="background1"/>
        </w:rPr>
        <w:t xml:space="preserve"> and integrating existing thermal grids with district energy systems, and</w:t>
      </w:r>
    </w:p>
    <w:p w14:paraId="5B3255FF" w14:textId="77777777" w:rsidR="00B65A50" w:rsidRPr="00F041AD" w:rsidRDefault="00B65A50" w:rsidP="00164A5A">
      <w:pPr>
        <w:pStyle w:val="5BodyText"/>
        <w:numPr>
          <w:ilvl w:val="0"/>
          <w:numId w:val="10"/>
        </w:numPr>
        <w:rPr>
          <w:color w:val="333333" w:themeColor="background1"/>
        </w:rPr>
      </w:pPr>
      <w:r w:rsidRPr="00F041AD">
        <w:rPr>
          <w:b/>
          <w:color w:val="333333" w:themeColor="background1"/>
        </w:rPr>
        <w:lastRenderedPageBreak/>
        <w:t>Supporting combined heat and power (CHP) development</w:t>
      </w:r>
      <w:r w:rsidRPr="00F041AD">
        <w:rPr>
          <w:color w:val="333333" w:themeColor="background1"/>
        </w:rPr>
        <w:t xml:space="preserve"> by advancing the recommendations from the Department of Commerce’s 2015 CHP Action Plan.</w:t>
      </w:r>
    </w:p>
    <w:p w14:paraId="351A0BB4" w14:textId="77777777" w:rsidR="00B65A50" w:rsidRPr="00F041AD" w:rsidRDefault="00B65A50" w:rsidP="00164A5A">
      <w:pPr>
        <w:rPr>
          <w:color w:val="333333" w:themeColor="background1"/>
        </w:rPr>
      </w:pPr>
      <w:r w:rsidRPr="00F041AD">
        <w:rPr>
          <w:color w:val="333333" w:themeColor="background1"/>
        </w:rPr>
        <w:br w:type="page"/>
      </w:r>
    </w:p>
    <w:p w14:paraId="433FB9BA" w14:textId="77777777" w:rsidR="00B65A50" w:rsidRPr="00F041AD" w:rsidRDefault="00B65A50" w:rsidP="007F3F44">
      <w:pPr>
        <w:pStyle w:val="6BodyHighlight"/>
        <w:rPr>
          <w:color w:val="333333" w:themeColor="background1"/>
        </w:rPr>
      </w:pPr>
      <w:bookmarkStart w:id="182" w:name="_Toc322961640"/>
      <w:r w:rsidRPr="00F041AD">
        <w:rPr>
          <w:color w:val="333333" w:themeColor="background1"/>
        </w:rPr>
        <w:lastRenderedPageBreak/>
        <w:t>Energy profile</w:t>
      </w:r>
      <w:bookmarkEnd w:id="182"/>
    </w:p>
    <w:p w14:paraId="7EC4FD64" w14:textId="41E8D85E" w:rsidR="00B65A50" w:rsidRPr="00F041AD" w:rsidRDefault="00B65A50" w:rsidP="00164A5A">
      <w:pPr>
        <w:pStyle w:val="5BodyText"/>
        <w:rPr>
          <w:rFonts w:asciiTheme="majorHAnsi" w:hAnsiTheme="majorHAnsi"/>
          <w:color w:val="333333" w:themeColor="background1"/>
        </w:rPr>
      </w:pPr>
      <w:r w:rsidRPr="00F041AD">
        <w:rPr>
          <w:rFonts w:asciiTheme="majorHAnsi" w:hAnsiTheme="majorHAnsi"/>
          <w:color w:val="333333" w:themeColor="background1"/>
        </w:rPr>
        <w:t xml:space="preserve">Residential and commercial buildings account for two-thirds of the state’s electricity consumption and over half of the natural gas delivered in Minnesota (see </w:t>
      </w:r>
      <w:r w:rsidRPr="00F041AD">
        <w:rPr>
          <w:rFonts w:asciiTheme="majorHAnsi" w:hAnsiTheme="majorHAnsi"/>
          <w:color w:val="333333" w:themeColor="background1"/>
        </w:rPr>
        <w:fldChar w:fldCharType="begin"/>
      </w:r>
      <w:r w:rsidRPr="00F041AD">
        <w:rPr>
          <w:rFonts w:asciiTheme="majorHAnsi" w:hAnsiTheme="majorHAnsi"/>
          <w:color w:val="333333" w:themeColor="background1"/>
        </w:rPr>
        <w:instrText xml:space="preserve"> REF _Ref322848324 \h </w:instrText>
      </w:r>
      <w:r w:rsidRPr="00F041AD">
        <w:rPr>
          <w:rFonts w:asciiTheme="majorHAnsi" w:hAnsiTheme="majorHAnsi"/>
          <w:color w:val="333333" w:themeColor="background1"/>
        </w:rPr>
      </w:r>
      <w:r w:rsidRPr="00F041AD">
        <w:rPr>
          <w:rFonts w:asciiTheme="majorHAnsi" w:hAnsiTheme="majorHAnsi"/>
          <w:color w:val="333333" w:themeColor="background1"/>
        </w:rPr>
        <w:fldChar w:fldCharType="separate"/>
      </w:r>
      <w:r w:rsidR="00171E58" w:rsidRPr="00F041AD">
        <w:rPr>
          <w:color w:val="333333" w:themeColor="background1"/>
        </w:rPr>
        <w:t xml:space="preserve">Figure </w:t>
      </w:r>
      <w:r w:rsidR="00171E58">
        <w:rPr>
          <w:noProof/>
          <w:color w:val="333333" w:themeColor="background1"/>
        </w:rPr>
        <w:t>16</w:t>
      </w:r>
      <w:r w:rsidRPr="00F041AD">
        <w:rPr>
          <w:rFonts w:asciiTheme="majorHAnsi" w:hAnsiTheme="majorHAnsi"/>
          <w:color w:val="333333" w:themeColor="background1"/>
        </w:rPr>
        <w:fldChar w:fldCharType="end"/>
      </w:r>
      <w:r w:rsidRPr="00F041AD">
        <w:rPr>
          <w:rFonts w:asciiTheme="majorHAnsi" w:hAnsiTheme="majorHAnsi"/>
          <w:color w:val="333333" w:themeColor="background1"/>
          <w:sz w:val="32"/>
        </w:rPr>
        <w:t xml:space="preserve"> </w:t>
      </w:r>
      <w:r w:rsidRPr="00F041AD">
        <w:rPr>
          <w:rFonts w:asciiTheme="majorHAnsi" w:hAnsiTheme="majorHAnsi"/>
          <w:color w:val="333333" w:themeColor="background1"/>
        </w:rPr>
        <w:t>below).</w:t>
      </w:r>
      <w:r w:rsidRPr="00F041AD">
        <w:rPr>
          <w:rFonts w:asciiTheme="majorHAnsi" w:hAnsiTheme="majorHAnsi"/>
          <w:color w:val="333333" w:themeColor="background1"/>
          <w:vertAlign w:val="superscript"/>
        </w:rPr>
        <w:endnoteReference w:id="168"/>
      </w:r>
      <w:r w:rsidRPr="00F041AD">
        <w:rPr>
          <w:rFonts w:asciiTheme="majorHAnsi" w:hAnsiTheme="majorHAnsi"/>
          <w:color w:val="333333" w:themeColor="background1"/>
        </w:rPr>
        <w:t xml:space="preserve"> Making these buildings more efficient is a major opportunity to reduce the energy and greenhouse gas intensity of the state. </w:t>
      </w:r>
    </w:p>
    <w:p w14:paraId="6639E9F3" w14:textId="13BC40D3" w:rsidR="00B65A50" w:rsidRPr="00F041AD" w:rsidRDefault="00B65A50" w:rsidP="00164A5A">
      <w:pPr>
        <w:pStyle w:val="5BodyText"/>
        <w:rPr>
          <w:rFonts w:asciiTheme="majorHAnsi" w:hAnsiTheme="majorHAnsi"/>
          <w:color w:val="333333" w:themeColor="background1"/>
        </w:rPr>
      </w:pPr>
    </w:p>
    <w:p w14:paraId="03CD7494" w14:textId="3F948219" w:rsidR="000627E0" w:rsidRPr="00F041AD" w:rsidRDefault="001C531E" w:rsidP="000627E0">
      <w:pPr>
        <w:pStyle w:val="7Caption"/>
        <w:rPr>
          <w:color w:val="333333" w:themeColor="background1"/>
        </w:rPr>
      </w:pPr>
      <w:bookmarkStart w:id="183" w:name="_Ref322848324"/>
      <w:bookmarkStart w:id="184" w:name="_Toc322958525"/>
      <w:r w:rsidRPr="00F041AD">
        <w:rPr>
          <w:rFonts w:asciiTheme="majorHAnsi" w:hAnsiTheme="majorHAnsi"/>
          <w:noProof/>
          <w:color w:val="333333" w:themeColor="background1"/>
          <w:lang w:eastAsia="en-US"/>
        </w:rPr>
        <mc:AlternateContent>
          <mc:Choice Requires="wps">
            <w:drawing>
              <wp:anchor distT="0" distB="0" distL="114300" distR="114300" simplePos="0" relativeHeight="251697152" behindDoc="1" locked="0" layoutInCell="1" allowOverlap="1" wp14:anchorId="63B7E855" wp14:editId="24AF5F85">
                <wp:simplePos x="0" y="0"/>
                <wp:positionH relativeFrom="column">
                  <wp:posOffset>4140200</wp:posOffset>
                </wp:positionH>
                <wp:positionV relativeFrom="paragraph">
                  <wp:posOffset>178435</wp:posOffset>
                </wp:positionV>
                <wp:extent cx="2337435" cy="3100705"/>
                <wp:effectExtent l="0" t="0" r="0" b="4445"/>
                <wp:wrapTight wrapText="bothSides">
                  <wp:wrapPolygon edited="0">
                    <wp:start x="352" y="0"/>
                    <wp:lineTo x="352" y="21498"/>
                    <wp:lineTo x="20949" y="21498"/>
                    <wp:lineTo x="20949" y="0"/>
                    <wp:lineTo x="352" y="0"/>
                  </wp:wrapPolygon>
                </wp:wrapTight>
                <wp:docPr id="30" name="Text Box 30"/>
                <wp:cNvGraphicFramePr/>
                <a:graphic xmlns:a="http://schemas.openxmlformats.org/drawingml/2006/main">
                  <a:graphicData uri="http://schemas.microsoft.com/office/word/2010/wordprocessingShape">
                    <wps:wsp>
                      <wps:cNvSpPr txBox="1"/>
                      <wps:spPr>
                        <a:xfrm>
                          <a:off x="0" y="0"/>
                          <a:ext cx="2337435" cy="3100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1249021" w14:textId="274B50A6" w:rsidR="006506BB" w:rsidRPr="001F63F9" w:rsidRDefault="006506BB" w:rsidP="00164A5A">
                            <w:pPr>
                              <w:pStyle w:val="4Quote"/>
                              <w:rPr>
                                <w:sz w:val="32"/>
                              </w:rPr>
                            </w:pPr>
                            <w:r w:rsidRPr="001F63F9">
                              <w:rPr>
                                <w:sz w:val="32"/>
                              </w:rPr>
                              <w:t xml:space="preserve">Buildings account for 40 percent of all energy use in Minnesota. Ensuring that new buildings are highly-energy efficient and the existing buildings are performing well is crucial to Minnesota’s energy equation.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5" type="#_x0000_t202" style="position:absolute;margin-left:326pt;margin-top:14.05pt;width:184.05pt;height:244.1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" filled="f" stroked="f">
                <v:textbox>
                  <w:txbxContent>
                    <w:p w14:paraId="41249021" w14:textId="274B50A6" w:rsidR="006506BB" w:rsidRPr="001F63F9" w:rsidRDefault="006506BB" w:rsidP="00164A5A">
                      <w:pPr>
                        <w:pStyle w:val="4Quote"/>
                        <w:rPr>
                          <w:sz w:val="32"/>
                        </w:rPr>
                      </w:pPr>
                      <w:r w:rsidRPr="001F63F9">
                        <w:rPr>
                          <w:sz w:val="32"/>
                        </w:rPr>
                        <w:t xml:space="preserve">Buildings account for 40 percent of all energy use in Minnesota. Ensuring that new buildings are highly-energy efficient and the existing buildings are performing well is crucial to Minnesota’s energy equation. </w:t>
                      </w:r>
                    </w:p>
                  </w:txbxContent>
                </v:textbox>
                <w10:wrap type="tight"/>
              </v:shape>
            </w:pict>
          </mc:Fallback>
        </mc:AlternateContent>
      </w:r>
      <w:r w:rsidR="00B65A50" w:rsidRPr="00F041AD">
        <w:rPr>
          <w:color w:val="333333" w:themeColor="background1"/>
        </w:rPr>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16</w:t>
      </w:r>
      <w:r w:rsidR="0010025D" w:rsidRPr="00F041AD">
        <w:rPr>
          <w:noProof/>
          <w:color w:val="333333" w:themeColor="background1"/>
        </w:rPr>
        <w:fldChar w:fldCharType="end"/>
      </w:r>
      <w:bookmarkEnd w:id="183"/>
      <w:r w:rsidR="005C4F4F" w:rsidRPr="00F041AD">
        <w:rPr>
          <w:noProof/>
          <w:color w:val="333333" w:themeColor="background1"/>
        </w:rPr>
        <w:t>:</w:t>
      </w:r>
      <w:r w:rsidR="00B65A50" w:rsidRPr="00F041AD">
        <w:rPr>
          <w:color w:val="333333" w:themeColor="background1"/>
        </w:rPr>
        <w:t xml:space="preserve"> </w:t>
      </w:r>
      <w:r w:rsidR="000627E0" w:rsidRPr="00F041AD">
        <w:rPr>
          <w:color w:val="333333" w:themeColor="background1"/>
        </w:rPr>
        <w:t>Minnesota source energy use by sector, 2013</w:t>
      </w:r>
      <w:bookmarkEnd w:id="184"/>
    </w:p>
    <w:p w14:paraId="0746B396" w14:textId="31525BB2" w:rsidR="000627E0" w:rsidRPr="00F041AD" w:rsidRDefault="000627E0" w:rsidP="00164A5A">
      <w:pPr>
        <w:pStyle w:val="5BodyText"/>
        <w:rPr>
          <w:color w:val="333333" w:themeColor="background1"/>
          <w:sz w:val="16"/>
        </w:rPr>
      </w:pPr>
      <w:r w:rsidRPr="00F041AD">
        <w:rPr>
          <w:noProof/>
          <w:color w:val="333333" w:themeColor="background1"/>
          <w:lang w:eastAsia="en-US"/>
        </w:rPr>
        <w:drawing>
          <wp:inline distT="0" distB="0" distL="0" distR="0" wp14:anchorId="5BD1050C" wp14:editId="7CBB7FBD">
            <wp:extent cx="4046855" cy="3098800"/>
            <wp:effectExtent l="0" t="0" r="17145" b="2540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F041AD">
        <w:rPr>
          <w:color w:val="333333" w:themeColor="background1"/>
        </w:rPr>
        <w:br w:type="textWrapping" w:clear="all"/>
      </w:r>
      <w:r w:rsidRPr="00F041AD">
        <w:rPr>
          <w:color w:val="333333" w:themeColor="background1"/>
          <w:sz w:val="16"/>
        </w:rPr>
        <w:t xml:space="preserve">Source: </w:t>
      </w:r>
      <w:r w:rsidRPr="00F041AD">
        <w:rPr>
          <w:rFonts w:asciiTheme="majorHAnsi" w:hAnsiTheme="majorHAnsi"/>
          <w:color w:val="333333" w:themeColor="background1"/>
          <w:sz w:val="16"/>
        </w:rPr>
        <w:t>U.S. Energy Information Administration. “Tables CT4-CT7, 1960-2013, Minnesota.”</w:t>
      </w:r>
    </w:p>
    <w:p w14:paraId="239CADE8" w14:textId="36E74C17" w:rsidR="00B65A50" w:rsidRPr="00F041AD" w:rsidRDefault="00B65A50" w:rsidP="00164A5A">
      <w:pPr>
        <w:pStyle w:val="5BodyText"/>
        <w:rPr>
          <w:rFonts w:asciiTheme="majorHAnsi" w:hAnsiTheme="majorHAnsi"/>
          <w:color w:val="333333" w:themeColor="background1"/>
        </w:rPr>
      </w:pPr>
    </w:p>
    <w:p w14:paraId="4CC86E21" w14:textId="29B9206E" w:rsidR="00B65A50" w:rsidRPr="00F041AD" w:rsidRDefault="00B65A50" w:rsidP="00164A5A">
      <w:pPr>
        <w:pStyle w:val="5BodyText"/>
        <w:rPr>
          <w:rFonts w:asciiTheme="majorHAnsi" w:hAnsiTheme="majorHAnsi"/>
          <w:color w:val="333333" w:themeColor="background1"/>
        </w:rPr>
      </w:pPr>
      <w:r w:rsidRPr="00F041AD">
        <w:rPr>
          <w:rFonts w:asciiTheme="majorHAnsi" w:hAnsiTheme="majorHAnsi"/>
          <w:color w:val="333333" w:themeColor="background1"/>
        </w:rPr>
        <w:t>This section covers strategies to help design, retrofit, and operate buildings and their energy supply systems more efficiently, through design standards for new buildings, expanded programs for existing buildings, and optimization of thermal energy systems for individual buildings as well as communities.</w:t>
      </w:r>
    </w:p>
    <w:p w14:paraId="4035C174" w14:textId="3063A012" w:rsidR="00B65A50" w:rsidRPr="00F041AD" w:rsidRDefault="00B65A50" w:rsidP="00164A5A">
      <w:pPr>
        <w:pStyle w:val="5BodyText"/>
        <w:rPr>
          <w:rFonts w:asciiTheme="majorHAnsi" w:hAnsiTheme="majorHAnsi"/>
          <w:color w:val="333333" w:themeColor="background1"/>
        </w:rPr>
      </w:pPr>
    </w:p>
    <w:p w14:paraId="694B5455" w14:textId="77777777" w:rsidR="00B65A50" w:rsidRPr="00F041AD" w:rsidRDefault="00B65A50" w:rsidP="00164A5A">
      <w:pPr>
        <w:pStyle w:val="5BodyText"/>
        <w:rPr>
          <w:rFonts w:asciiTheme="majorHAnsi" w:hAnsiTheme="majorHAnsi"/>
          <w:color w:val="333333" w:themeColor="background1"/>
        </w:rPr>
      </w:pPr>
      <w:r w:rsidRPr="00F041AD">
        <w:rPr>
          <w:rFonts w:asciiTheme="majorHAnsi" w:hAnsiTheme="majorHAnsi"/>
          <w:color w:val="333333" w:themeColor="background1"/>
        </w:rPr>
        <w:t>Minnesota has already demonstrated national leadership and substantial progress toward an energy efficient building stock. In 2015, the American Council for an Energy Efficient Economy (ACEEE) ranked Minnesota tenth nationally for its energy efficiency programs and policies.</w:t>
      </w:r>
      <w:r w:rsidRPr="00F041AD">
        <w:rPr>
          <w:rFonts w:asciiTheme="majorHAnsi" w:hAnsiTheme="majorHAnsi"/>
          <w:color w:val="333333" w:themeColor="background1"/>
          <w:vertAlign w:val="superscript"/>
        </w:rPr>
        <w:endnoteReference w:id="169"/>
      </w:r>
      <w:r w:rsidRPr="00F041AD">
        <w:rPr>
          <w:rFonts w:asciiTheme="majorHAnsi" w:hAnsiTheme="majorHAnsi"/>
          <w:color w:val="333333" w:themeColor="background1"/>
        </w:rPr>
        <w:t xml:space="preserve"> With the State’s recent adoption of the 2012 International Energy Conservation Code (IECC), the state has set the stage for improvements in energy efficiency over time.</w:t>
      </w:r>
      <w:r w:rsidRPr="00F041AD">
        <w:rPr>
          <w:rStyle w:val="EndnoteReference"/>
          <w:rFonts w:asciiTheme="majorHAnsi" w:hAnsiTheme="majorHAnsi"/>
          <w:color w:val="333333" w:themeColor="background1"/>
        </w:rPr>
        <w:endnoteReference w:id="170"/>
      </w:r>
    </w:p>
    <w:p w14:paraId="09EF2EE1" w14:textId="77777777" w:rsidR="00B65A50" w:rsidRPr="00F041AD" w:rsidRDefault="00B65A50" w:rsidP="00164A5A">
      <w:pPr>
        <w:pStyle w:val="5BodyText"/>
        <w:rPr>
          <w:rFonts w:asciiTheme="majorHAnsi" w:hAnsiTheme="majorHAnsi"/>
          <w:color w:val="333333" w:themeColor="background1"/>
        </w:rPr>
      </w:pPr>
    </w:p>
    <w:p w14:paraId="37E613BA" w14:textId="77777777" w:rsidR="00B65A50" w:rsidRPr="00F041AD" w:rsidRDefault="00B65A50" w:rsidP="00164A5A">
      <w:pPr>
        <w:pStyle w:val="5BodyText"/>
        <w:rPr>
          <w:rFonts w:asciiTheme="majorHAnsi" w:hAnsiTheme="majorHAnsi"/>
          <w:color w:val="333333" w:themeColor="background1"/>
        </w:rPr>
      </w:pPr>
      <w:r w:rsidRPr="00F041AD">
        <w:rPr>
          <w:rFonts w:asciiTheme="majorHAnsi" w:hAnsiTheme="majorHAnsi"/>
          <w:color w:val="333333" w:themeColor="background1"/>
        </w:rPr>
        <w:t xml:space="preserve">The current building energy landscape sets the stage for additional energy saving opportunities. New buildings can be held to increasingly ambitious energy codes. Owners and operators of existing buildings can take advantage of expanded access to data and advanced building system controls in order to identify and act on savings opportunities. Buildings are the end-points of a rapidly modernizing and interconnected electricity grid, and buildings are the major individual constituents of a local community’s energy footprint; </w:t>
      </w:r>
      <w:r w:rsidRPr="00F041AD">
        <w:rPr>
          <w:rFonts w:asciiTheme="majorHAnsi" w:hAnsiTheme="majorHAnsi"/>
          <w:color w:val="333333" w:themeColor="background1"/>
        </w:rPr>
        <w:lastRenderedPageBreak/>
        <w:t>there is a tremendous opportunity to dovetail building efficiency improvements with grid modernization and local government action in order to further drive energy savings.</w:t>
      </w:r>
    </w:p>
    <w:p w14:paraId="108FA3EF" w14:textId="77777777" w:rsidR="00B65A50" w:rsidRPr="00F041AD" w:rsidRDefault="00B65A50" w:rsidP="00164A5A">
      <w:pPr>
        <w:pStyle w:val="5BodyText"/>
        <w:rPr>
          <w:rFonts w:asciiTheme="majorHAnsi" w:hAnsiTheme="majorHAnsi"/>
          <w:color w:val="333333" w:themeColor="background1"/>
        </w:rPr>
      </w:pPr>
      <w:bookmarkStart w:id="185" w:name="h.1mrcu09" w:colFirst="0" w:colLast="0"/>
      <w:bookmarkStart w:id="186" w:name="_Toc318126173"/>
      <w:bookmarkStart w:id="187" w:name="_Toc319794278"/>
      <w:bookmarkEnd w:id="185"/>
    </w:p>
    <w:p w14:paraId="7190C7BC" w14:textId="77777777" w:rsidR="00B65A50" w:rsidRPr="00F041AD" w:rsidRDefault="00B65A50" w:rsidP="00164A5A">
      <w:pPr>
        <w:pStyle w:val="5BodyText"/>
        <w:rPr>
          <w:rFonts w:asciiTheme="majorHAnsi" w:hAnsiTheme="majorHAnsi"/>
          <w:color w:val="333333" w:themeColor="background1"/>
        </w:rPr>
      </w:pPr>
    </w:p>
    <w:p w14:paraId="5A4B752D" w14:textId="77777777" w:rsidR="00B65A50" w:rsidRPr="00F041AD" w:rsidRDefault="00B65A50" w:rsidP="007F3F44">
      <w:pPr>
        <w:pStyle w:val="6BodyHighlight"/>
        <w:rPr>
          <w:color w:val="333333" w:themeColor="background1"/>
        </w:rPr>
      </w:pPr>
      <w:bookmarkStart w:id="188" w:name="_Toc322961641"/>
      <w:r w:rsidRPr="00F041AD">
        <w:rPr>
          <w:color w:val="333333" w:themeColor="background1"/>
        </w:rPr>
        <w:t>Summary of opportunities</w:t>
      </w:r>
      <w:bookmarkEnd w:id="186"/>
      <w:bookmarkEnd w:id="187"/>
      <w:bookmarkEnd w:id="188"/>
    </w:p>
    <w:p w14:paraId="1BDB1F2F" w14:textId="77777777" w:rsidR="00B65A50" w:rsidRPr="00F041AD" w:rsidRDefault="00B65A50" w:rsidP="00164A5A">
      <w:pPr>
        <w:pStyle w:val="5BodyText"/>
        <w:rPr>
          <w:rFonts w:asciiTheme="majorHAnsi" w:hAnsiTheme="majorHAnsi"/>
          <w:color w:val="333333" w:themeColor="background1"/>
        </w:rPr>
      </w:pPr>
      <w:r w:rsidRPr="00F041AD">
        <w:rPr>
          <w:rFonts w:asciiTheme="majorHAnsi" w:hAnsiTheme="majorHAnsi"/>
          <w:color w:val="333333" w:themeColor="background1"/>
        </w:rPr>
        <w:t>The strategies outlined in this section have been identified as key near-term levers to improve upon Minnesota’s leadership in building energy efficiency. The strategies fall into three major categories: efficiency in new building design and construction; efficiency in existing buildings through retrofits and improved operation; and opportunities for integrated supply of electricity and thermal energy.</w:t>
      </w:r>
    </w:p>
    <w:p w14:paraId="40480DC3" w14:textId="77777777" w:rsidR="00B65A50" w:rsidRPr="00F041AD" w:rsidRDefault="00B65A50" w:rsidP="00164A5A">
      <w:pPr>
        <w:pStyle w:val="5BodyText"/>
        <w:rPr>
          <w:rFonts w:asciiTheme="majorHAnsi" w:hAnsiTheme="majorHAnsi"/>
          <w:color w:val="333333" w:themeColor="background1"/>
        </w:rPr>
      </w:pPr>
    </w:p>
    <w:p w14:paraId="2744DAD1" w14:textId="77777777" w:rsidR="00B65A50" w:rsidRPr="00F041AD" w:rsidRDefault="00B65A50" w:rsidP="00164A5A">
      <w:pPr>
        <w:pStyle w:val="5BodyText"/>
        <w:rPr>
          <w:rFonts w:asciiTheme="majorHAnsi" w:hAnsiTheme="majorHAnsi"/>
          <w:color w:val="333333" w:themeColor="background1"/>
        </w:rPr>
      </w:pPr>
      <w:r w:rsidRPr="00F041AD">
        <w:rPr>
          <w:rFonts w:asciiTheme="majorHAnsi" w:hAnsiTheme="majorHAnsi"/>
          <w:b/>
          <w:color w:val="333333" w:themeColor="background1"/>
        </w:rPr>
        <w:t>New buildings</w:t>
      </w:r>
    </w:p>
    <w:p w14:paraId="178B49C3" w14:textId="77777777" w:rsidR="00B65A50" w:rsidRPr="00F041AD" w:rsidRDefault="00B65A50" w:rsidP="00164A5A">
      <w:pPr>
        <w:pStyle w:val="5BodyText"/>
        <w:rPr>
          <w:rFonts w:asciiTheme="majorHAnsi" w:hAnsiTheme="majorHAnsi"/>
          <w:color w:val="333333" w:themeColor="background1"/>
        </w:rPr>
      </w:pPr>
      <w:r w:rsidRPr="00F041AD">
        <w:rPr>
          <w:rFonts w:asciiTheme="majorHAnsi" w:hAnsiTheme="majorHAnsi"/>
          <w:color w:val="333333" w:themeColor="background1"/>
        </w:rPr>
        <w:t>Due to the up-front opportunities to optimize site selection, building design, and material and equipment specifications based on energy efficiency goals, the thoughtful design of new buildings and major renovations is a cost-effective way to reduce building energy use and optimize performance. Because of building stock turnover, new buildings are expected to account for a large share of Minnesota’s total energy use over the time horizon of existing policies and goals.</w:t>
      </w:r>
      <w:r w:rsidRPr="00F041AD">
        <w:rPr>
          <w:rFonts w:asciiTheme="majorHAnsi" w:hAnsiTheme="majorHAnsi"/>
          <w:color w:val="333333" w:themeColor="background1"/>
        </w:rPr>
        <w:br/>
      </w:r>
      <w:r w:rsidRPr="00F041AD">
        <w:rPr>
          <w:rFonts w:asciiTheme="majorHAnsi" w:hAnsiTheme="majorHAnsi"/>
          <w:color w:val="333333" w:themeColor="background1"/>
        </w:rPr>
        <w:br/>
        <w:t>The strategy outlined in this section would make it easier to apply aggressive building energy codes to an increasing share of buildings in the state, ensuring that new additions to the building stock are as efficient as possible.</w:t>
      </w:r>
      <w:r w:rsidRPr="00F041AD">
        <w:rPr>
          <w:rFonts w:asciiTheme="majorHAnsi" w:hAnsiTheme="majorHAnsi"/>
          <w:color w:val="333333" w:themeColor="background1"/>
        </w:rPr>
        <w:br/>
      </w:r>
    </w:p>
    <w:p w14:paraId="55997C67" w14:textId="77777777" w:rsidR="00B65A50" w:rsidRPr="00F041AD" w:rsidRDefault="00B65A50" w:rsidP="00164A5A">
      <w:pPr>
        <w:pStyle w:val="5BodyText"/>
        <w:rPr>
          <w:rFonts w:asciiTheme="majorHAnsi" w:hAnsiTheme="majorHAnsi"/>
          <w:b/>
          <w:color w:val="333333" w:themeColor="background1"/>
        </w:rPr>
      </w:pPr>
      <w:r w:rsidRPr="00F041AD">
        <w:rPr>
          <w:rFonts w:asciiTheme="majorHAnsi" w:hAnsiTheme="majorHAnsi"/>
          <w:b/>
          <w:color w:val="333333" w:themeColor="background1"/>
        </w:rPr>
        <w:t>Existing buildings</w:t>
      </w:r>
    </w:p>
    <w:p w14:paraId="7C466EF4" w14:textId="77777777" w:rsidR="00B65A50" w:rsidRPr="00F041AD" w:rsidRDefault="00B65A50" w:rsidP="00164A5A">
      <w:pPr>
        <w:pStyle w:val="5BodyText"/>
        <w:rPr>
          <w:rFonts w:asciiTheme="majorHAnsi" w:hAnsiTheme="majorHAnsi"/>
          <w:b/>
          <w:color w:val="333333" w:themeColor="background1"/>
        </w:rPr>
      </w:pPr>
      <w:r w:rsidRPr="00F041AD">
        <w:rPr>
          <w:rFonts w:asciiTheme="majorHAnsi" w:hAnsiTheme="majorHAnsi"/>
          <w:color w:val="333333" w:themeColor="background1"/>
        </w:rPr>
        <w:t>Addressing energy use in existing buildings is another important lever to reduce sector energy use. Minnesota’s existing energy efficiency programs address building envelope efficiency, heating and cooling systems, and plug loads. However, there is room to expand the breadth and depth of energy-efficient practices and programs.</w:t>
      </w:r>
      <w:r w:rsidRPr="00F041AD">
        <w:rPr>
          <w:rFonts w:asciiTheme="majorHAnsi" w:hAnsiTheme="majorHAnsi"/>
          <w:color w:val="333333" w:themeColor="background1"/>
        </w:rPr>
        <w:br/>
      </w:r>
      <w:r w:rsidRPr="00F041AD">
        <w:rPr>
          <w:rFonts w:asciiTheme="majorHAnsi" w:hAnsiTheme="majorHAnsi"/>
          <w:color w:val="333333" w:themeColor="background1"/>
        </w:rPr>
        <w:br/>
        <w:t xml:space="preserve">The strategies in this section address the rapidly growing opportunities for building operators and occupants to understand their energy use through data access and benchmarking, and to use that information to better manage their energy consumption through building system operations and behavior change.  </w:t>
      </w:r>
      <w:r w:rsidRPr="00F041AD">
        <w:rPr>
          <w:rFonts w:asciiTheme="majorHAnsi" w:hAnsiTheme="majorHAnsi"/>
          <w:b/>
          <w:color w:val="333333" w:themeColor="background1"/>
        </w:rPr>
        <w:br/>
      </w:r>
    </w:p>
    <w:p w14:paraId="351B8A4A" w14:textId="77777777" w:rsidR="00B65A50" w:rsidRPr="00F041AD" w:rsidRDefault="00B65A50" w:rsidP="00164A5A">
      <w:pPr>
        <w:pStyle w:val="5BodyText"/>
        <w:rPr>
          <w:rFonts w:asciiTheme="majorHAnsi" w:hAnsiTheme="majorHAnsi"/>
          <w:b/>
          <w:color w:val="333333" w:themeColor="background1"/>
        </w:rPr>
      </w:pPr>
      <w:r w:rsidRPr="00F041AD">
        <w:rPr>
          <w:rFonts w:asciiTheme="majorHAnsi" w:hAnsiTheme="majorHAnsi"/>
          <w:b/>
          <w:color w:val="333333" w:themeColor="background1"/>
        </w:rPr>
        <w:t>Efficiency through integrated energy systems</w:t>
      </w:r>
    </w:p>
    <w:p w14:paraId="7C951843" w14:textId="77777777" w:rsidR="00B65A50" w:rsidRPr="00F041AD" w:rsidRDefault="00B65A50" w:rsidP="00164A5A">
      <w:pPr>
        <w:pStyle w:val="5BodyText"/>
        <w:rPr>
          <w:rFonts w:asciiTheme="majorHAnsi" w:hAnsiTheme="majorHAnsi"/>
          <w:color w:val="333333" w:themeColor="background1"/>
        </w:rPr>
      </w:pPr>
      <w:r w:rsidRPr="00F041AD">
        <w:rPr>
          <w:rFonts w:asciiTheme="majorHAnsi" w:hAnsiTheme="majorHAnsi"/>
          <w:color w:val="333333" w:themeColor="background1"/>
        </w:rPr>
        <w:t xml:space="preserve">The strategies in the previous two categories can drive energy efficiency at the single-building and single-fuel level. However, there are many opportunities to drive additional energy savings by integrating district heating and cooling systems and capturing and re-using waste heat. </w:t>
      </w:r>
      <w:r w:rsidRPr="00F041AD">
        <w:rPr>
          <w:rFonts w:asciiTheme="majorHAnsi" w:hAnsiTheme="majorHAnsi"/>
          <w:color w:val="333333" w:themeColor="background1"/>
        </w:rPr>
        <w:br/>
      </w:r>
      <w:r w:rsidRPr="00F041AD">
        <w:rPr>
          <w:rFonts w:asciiTheme="majorHAnsi" w:hAnsiTheme="majorHAnsi"/>
          <w:color w:val="333333" w:themeColor="background1"/>
        </w:rPr>
        <w:br/>
        <w:t xml:space="preserve">Strategies in this section lay out actions to identify and take advantage of opportunities to meet the thermal </w:t>
      </w:r>
      <w:r w:rsidRPr="00F041AD">
        <w:rPr>
          <w:rFonts w:asciiTheme="majorHAnsi" w:hAnsiTheme="majorHAnsi"/>
          <w:color w:val="333333" w:themeColor="background1"/>
        </w:rPr>
        <w:lastRenderedPageBreak/>
        <w:t>needs of multiple buildings together, and to combine the provision of electricity and thermal energy with combined heat and power (CHP) facilities.</w:t>
      </w:r>
    </w:p>
    <w:p w14:paraId="7ED0CB4E" w14:textId="77777777" w:rsidR="00B65A50" w:rsidRPr="00F041AD" w:rsidRDefault="00B65A50" w:rsidP="00164A5A">
      <w:pPr>
        <w:pStyle w:val="5BodyText"/>
        <w:rPr>
          <w:rFonts w:asciiTheme="majorHAnsi" w:hAnsiTheme="majorHAnsi"/>
          <w:color w:val="333333" w:themeColor="background1"/>
        </w:rPr>
      </w:pPr>
      <w:bookmarkStart w:id="189" w:name="_Toc317317599"/>
      <w:bookmarkStart w:id="190" w:name="_Toc318126174"/>
      <w:bookmarkStart w:id="191" w:name="_Toc319794279"/>
    </w:p>
    <w:p w14:paraId="46B227E9" w14:textId="341C300E" w:rsidR="00B65A50" w:rsidRPr="00F041AD" w:rsidRDefault="00725676" w:rsidP="004C45CB">
      <w:pPr>
        <w:pStyle w:val="StrategyName"/>
      </w:pPr>
      <w:bookmarkStart w:id="192" w:name="_Toc322961642"/>
      <w:bookmarkStart w:id="193" w:name="_Toc322962043"/>
      <w:bookmarkStart w:id="194" w:name="_Toc322962230"/>
      <w:r>
        <w:t>C1</w:t>
      </w:r>
      <w:r w:rsidR="00B65A50" w:rsidRPr="00F041AD">
        <w:t xml:space="preserve">. Adopt </w:t>
      </w:r>
      <w:bookmarkEnd w:id="189"/>
      <w:bookmarkEnd w:id="190"/>
      <w:bookmarkEnd w:id="191"/>
      <w:r w:rsidR="00B65A50" w:rsidRPr="00F041AD">
        <w:t>SB2030 as an optional stretch code</w:t>
      </w:r>
      <w:bookmarkEnd w:id="192"/>
      <w:bookmarkEnd w:id="193"/>
      <w:bookmarkEnd w:id="194"/>
    </w:p>
    <w:p w14:paraId="3BB1E73E" w14:textId="77777777" w:rsidR="00B65A50" w:rsidRPr="00F041AD" w:rsidRDefault="00B65A50" w:rsidP="00164A5A">
      <w:pPr>
        <w:pStyle w:val="5BodyText"/>
        <w:rPr>
          <w:color w:val="333333" w:themeColor="background1"/>
        </w:rPr>
      </w:pPr>
    </w:p>
    <w:p w14:paraId="330107F2" w14:textId="77777777" w:rsidR="00B65A50" w:rsidRPr="00F041AD" w:rsidRDefault="00B65A50" w:rsidP="00164A5A">
      <w:pPr>
        <w:pStyle w:val="5BodyText"/>
        <w:rPr>
          <w:rFonts w:asciiTheme="majorHAnsi" w:hAnsiTheme="majorHAnsi"/>
          <w:b/>
          <w:i/>
          <w:color w:val="333333" w:themeColor="background1"/>
        </w:rPr>
      </w:pPr>
      <w:r w:rsidRPr="00F041AD">
        <w:rPr>
          <w:rFonts w:asciiTheme="majorHAnsi" w:hAnsiTheme="majorHAnsi"/>
          <w:b/>
          <w:i/>
          <w:color w:val="333333" w:themeColor="background1"/>
        </w:rPr>
        <w:t xml:space="preserve">Strategy overview: </w:t>
      </w:r>
    </w:p>
    <w:p w14:paraId="499AA143" w14:textId="77777777" w:rsidR="00B65A50" w:rsidRPr="00F041AD" w:rsidRDefault="00B65A50" w:rsidP="00164A5A">
      <w:pPr>
        <w:pStyle w:val="5BodyText"/>
        <w:rPr>
          <w:rFonts w:asciiTheme="majorHAnsi" w:hAnsiTheme="majorHAnsi"/>
          <w:color w:val="333333" w:themeColor="background1"/>
        </w:rPr>
      </w:pPr>
      <w:r w:rsidRPr="00F041AD">
        <w:rPr>
          <w:rFonts w:asciiTheme="majorHAnsi" w:hAnsiTheme="majorHAnsi"/>
          <w:color w:val="333333" w:themeColor="background1"/>
        </w:rPr>
        <w:t>New buildings and major renovations represent a large opportunity for energy and CO</w:t>
      </w:r>
      <w:r w:rsidRPr="00F041AD">
        <w:rPr>
          <w:rFonts w:asciiTheme="majorHAnsi" w:hAnsiTheme="majorHAnsi"/>
          <w:color w:val="333333" w:themeColor="background1"/>
          <w:vertAlign w:val="subscript"/>
        </w:rPr>
        <w:t>2</w:t>
      </w:r>
      <w:r w:rsidRPr="00F041AD">
        <w:rPr>
          <w:rFonts w:asciiTheme="majorHAnsi" w:hAnsiTheme="majorHAnsi"/>
          <w:color w:val="333333" w:themeColor="background1"/>
        </w:rPr>
        <w:t xml:space="preserve"> savings in Minnesota over the coming decades. One opportunity to capture these savings is to implement a voluntary code for energy performance at the local level for new buildings and major renovations. Currently, commercial and residential construction is required to meet the 2015 Minnesota Energy Code, which is based on the 2012 International Energy Conservation Code.</w:t>
      </w:r>
      <w:r w:rsidRPr="00F041AD">
        <w:rPr>
          <w:rStyle w:val="EndnoteReference"/>
          <w:rFonts w:asciiTheme="majorHAnsi" w:hAnsiTheme="majorHAnsi"/>
          <w:color w:val="333333" w:themeColor="background1"/>
        </w:rPr>
        <w:endnoteReference w:id="171"/>
      </w:r>
      <w:r w:rsidRPr="00F041AD">
        <w:rPr>
          <w:rFonts w:asciiTheme="majorHAnsi" w:hAnsiTheme="majorHAnsi"/>
          <w:color w:val="333333" w:themeColor="background1"/>
        </w:rPr>
        <w:t xml:space="preserve"> Additionally, state-bonded buildings are required to meet performance-based energy standards established through the State’s Sustainable Buildings 2030 (SB 2030) program. SB2030 is based on the national Architecture 2030 program and supported by State funding and a local project team.</w:t>
      </w:r>
      <w:r w:rsidRPr="00F041AD">
        <w:rPr>
          <w:rStyle w:val="EndnoteReference"/>
          <w:rFonts w:asciiTheme="majorHAnsi" w:hAnsiTheme="majorHAnsi"/>
          <w:color w:val="333333" w:themeColor="background1"/>
        </w:rPr>
        <w:endnoteReference w:id="172"/>
      </w:r>
    </w:p>
    <w:p w14:paraId="4C2952B8" w14:textId="77777777" w:rsidR="00B65A50" w:rsidRPr="00F041AD" w:rsidRDefault="00B65A50" w:rsidP="00164A5A">
      <w:pPr>
        <w:pStyle w:val="5BodyText"/>
        <w:rPr>
          <w:rFonts w:asciiTheme="majorHAnsi" w:hAnsiTheme="majorHAnsi"/>
          <w:color w:val="333333" w:themeColor="background1"/>
        </w:rPr>
      </w:pPr>
    </w:p>
    <w:p w14:paraId="68572C57" w14:textId="77777777" w:rsidR="00B65A50" w:rsidRPr="00F041AD" w:rsidRDefault="00B65A50" w:rsidP="00164A5A">
      <w:pPr>
        <w:pStyle w:val="5BodyText"/>
        <w:rPr>
          <w:rFonts w:asciiTheme="majorHAnsi" w:hAnsiTheme="majorHAnsi"/>
          <w:color w:val="333333" w:themeColor="background1"/>
        </w:rPr>
      </w:pPr>
      <w:r w:rsidRPr="00F041AD">
        <w:rPr>
          <w:rFonts w:asciiTheme="majorHAnsi" w:hAnsiTheme="majorHAnsi"/>
          <w:color w:val="333333" w:themeColor="background1"/>
        </w:rPr>
        <w:t>By expanding SB 2030’s scope beyond state-bonded buildings and encouraging local governments to adopt it as a stretch energy goal for new buildings and major renovations, implementing this strategy will result in significant energy savings in a greater variety and number of buildings.  In its analysis of the climate and economic impacts of using a phased approach to expand the application of SB 2030 to all commercial and residential buildings,</w:t>
      </w:r>
      <w:r w:rsidRPr="00F041AD" w:rsidDel="004E27CE">
        <w:rPr>
          <w:rFonts w:asciiTheme="majorHAnsi" w:hAnsiTheme="majorHAnsi"/>
          <w:color w:val="333333" w:themeColor="background1"/>
        </w:rPr>
        <w:t xml:space="preserve"> </w:t>
      </w:r>
      <w:r w:rsidRPr="00F041AD">
        <w:rPr>
          <w:rFonts w:asciiTheme="majorHAnsi" w:hAnsiTheme="majorHAnsi"/>
          <w:color w:val="333333" w:themeColor="background1"/>
        </w:rPr>
        <w:t xml:space="preserve">the Climate Solutions and Economic Opportunities (CSEO) process has identified a 10 million </w:t>
      </w:r>
      <w:proofErr w:type="spellStart"/>
      <w:r w:rsidRPr="00F041AD">
        <w:rPr>
          <w:rFonts w:asciiTheme="majorHAnsi" w:hAnsiTheme="majorHAnsi"/>
          <w:color w:val="333333" w:themeColor="background1"/>
        </w:rPr>
        <w:t>tonnes</w:t>
      </w:r>
      <w:proofErr w:type="spellEnd"/>
      <w:r w:rsidRPr="00F041AD">
        <w:rPr>
          <w:rFonts w:asciiTheme="majorHAnsi" w:hAnsiTheme="majorHAnsi"/>
          <w:color w:val="333333" w:themeColor="background1"/>
        </w:rPr>
        <w:t xml:space="preserve"> CO</w:t>
      </w:r>
      <w:r w:rsidRPr="00F041AD">
        <w:rPr>
          <w:rFonts w:asciiTheme="majorHAnsi" w:hAnsiTheme="majorHAnsi"/>
          <w:color w:val="333333" w:themeColor="background1"/>
          <w:vertAlign w:val="subscript"/>
        </w:rPr>
        <w:t>2</w:t>
      </w:r>
      <w:r w:rsidRPr="00F041AD">
        <w:rPr>
          <w:rFonts w:asciiTheme="majorHAnsi" w:hAnsiTheme="majorHAnsi"/>
          <w:color w:val="333333" w:themeColor="background1"/>
        </w:rPr>
        <w:t>/year savings opportunity in 2030, with an estimated net present value of $1 billion from 2015 to 2030.</w:t>
      </w:r>
      <w:r w:rsidRPr="00F041AD">
        <w:rPr>
          <w:rFonts w:asciiTheme="majorHAnsi" w:hAnsiTheme="majorHAnsi"/>
          <w:color w:val="333333" w:themeColor="background1"/>
          <w:vertAlign w:val="superscript"/>
        </w:rPr>
        <w:endnoteReference w:id="173"/>
      </w:r>
      <w:r w:rsidRPr="00F041AD">
        <w:rPr>
          <w:rFonts w:asciiTheme="majorHAnsi" w:hAnsiTheme="majorHAnsi"/>
          <w:color w:val="333333" w:themeColor="background1"/>
        </w:rPr>
        <w:t xml:space="preserve"> Given the scale of the energy savings opportunity highlighted by CSEO, stakeholders have identified the strategy of enabling local governments to adopt SB 2030 within their local building code as a promising near-term action. </w:t>
      </w:r>
    </w:p>
    <w:p w14:paraId="734CFB17" w14:textId="77777777" w:rsidR="00B65A50" w:rsidRPr="00F041AD" w:rsidRDefault="00B65A50" w:rsidP="00164A5A">
      <w:pPr>
        <w:rPr>
          <w:color w:val="333333" w:themeColor="background1"/>
        </w:rPr>
      </w:pPr>
    </w:p>
    <w:p w14:paraId="6B499A5D" w14:textId="77777777" w:rsidR="00B65A50" w:rsidRPr="00F041AD" w:rsidRDefault="00B65A50" w:rsidP="00164A5A">
      <w:pPr>
        <w:pStyle w:val="5BodyText"/>
        <w:rPr>
          <w:b/>
          <w:i/>
          <w:color w:val="333333" w:themeColor="background1"/>
        </w:rPr>
      </w:pPr>
      <w:r w:rsidRPr="00F041AD">
        <w:rPr>
          <w:b/>
          <w:i/>
          <w:color w:val="333333" w:themeColor="background1"/>
        </w:rPr>
        <w:t xml:space="preserve">Specific Actions for Strategy Implementation: </w:t>
      </w:r>
    </w:p>
    <w:p w14:paraId="01B3C91E" w14:textId="77777777" w:rsidR="00B65A50" w:rsidRPr="00F041AD" w:rsidRDefault="00B65A50" w:rsidP="00164A5A">
      <w:pPr>
        <w:pStyle w:val="5BodyText"/>
        <w:rPr>
          <w:color w:val="333333" w:themeColor="background1"/>
        </w:rPr>
      </w:pPr>
    </w:p>
    <w:p w14:paraId="69372397" w14:textId="77777777" w:rsidR="00B65A50" w:rsidRPr="00F041AD" w:rsidRDefault="00B65A50" w:rsidP="00164A5A">
      <w:pPr>
        <w:pStyle w:val="5BodyText"/>
        <w:numPr>
          <w:ilvl w:val="0"/>
          <w:numId w:val="84"/>
        </w:numPr>
        <w:rPr>
          <w:color w:val="333333" w:themeColor="background1"/>
          <w:u w:val="single"/>
        </w:rPr>
      </w:pPr>
      <w:r w:rsidRPr="00F041AD">
        <w:rPr>
          <w:b/>
          <w:color w:val="333333" w:themeColor="background1"/>
        </w:rPr>
        <w:t>Initiate Department of Labor and Industry (DLI) rulemaking</w:t>
      </w:r>
      <w:r w:rsidRPr="00F041AD">
        <w:rPr>
          <w:color w:val="333333" w:themeColor="background1"/>
        </w:rPr>
        <w:t xml:space="preserve">. </w:t>
      </w:r>
      <w:r w:rsidRPr="00F041AD">
        <w:rPr>
          <w:color w:val="333333" w:themeColor="background1"/>
        </w:rPr>
        <w:br/>
        <w:t xml:space="preserve">An administrative action by the Department of Labor and Industry (DLI) to add zero energy or low-energy goals as an Appendix option to the MN State Building Code would allow cities in Minnesota to elect to enforce SB 2030 standards to achieve energy and climate goals. </w:t>
      </w:r>
      <w:r w:rsidRPr="00F041AD">
        <w:rPr>
          <w:color w:val="333333" w:themeColor="background1"/>
        </w:rPr>
        <w:br/>
      </w:r>
      <w:r w:rsidRPr="00F041AD">
        <w:rPr>
          <w:color w:val="333333" w:themeColor="background1"/>
        </w:rPr>
        <w:br/>
        <w:t>Building upon DLI interest in the International Green Construction Code (</w:t>
      </w:r>
      <w:proofErr w:type="spellStart"/>
      <w:r w:rsidRPr="00F041AD">
        <w:rPr>
          <w:color w:val="333333" w:themeColor="background1"/>
        </w:rPr>
        <w:t>IgCC</w:t>
      </w:r>
      <w:proofErr w:type="spellEnd"/>
      <w:r w:rsidRPr="00F041AD">
        <w:rPr>
          <w:color w:val="333333" w:themeColor="background1"/>
        </w:rPr>
        <w:t xml:space="preserve">) 2015, the new rulemaking could propose including the </w:t>
      </w:r>
      <w:proofErr w:type="spellStart"/>
      <w:r w:rsidRPr="00F041AD">
        <w:rPr>
          <w:color w:val="333333" w:themeColor="background1"/>
        </w:rPr>
        <w:t>IgCC</w:t>
      </w:r>
      <w:proofErr w:type="spellEnd"/>
      <w:r w:rsidRPr="00F041AD">
        <w:rPr>
          <w:color w:val="333333" w:themeColor="background1"/>
        </w:rPr>
        <w:t xml:space="preserve"> 2015 as an appendix to the Minnesota State Code, with the modification of an SB 2030 “overlay” to set building-specific limits on energy use. The </w:t>
      </w:r>
      <w:proofErr w:type="spellStart"/>
      <w:r w:rsidRPr="00F041AD">
        <w:rPr>
          <w:color w:val="333333" w:themeColor="background1"/>
        </w:rPr>
        <w:t>IgCC</w:t>
      </w:r>
      <w:proofErr w:type="spellEnd"/>
      <w:r w:rsidRPr="00F041AD">
        <w:rPr>
          <w:color w:val="333333" w:themeColor="background1"/>
        </w:rPr>
        <w:t xml:space="preserve"> 2015 is a design-based code targeted at a limited number of building types, and as such does not have </w:t>
      </w:r>
      <w:r w:rsidRPr="00F041AD">
        <w:rPr>
          <w:color w:val="333333" w:themeColor="background1"/>
        </w:rPr>
        <w:lastRenderedPageBreak/>
        <w:t xml:space="preserve">sufficient flexibility to factor in different usage patterns or mixed-use building types. Replacing </w:t>
      </w:r>
      <w:proofErr w:type="spellStart"/>
      <w:r w:rsidRPr="00F041AD">
        <w:rPr>
          <w:color w:val="333333" w:themeColor="background1"/>
        </w:rPr>
        <w:t>IgCC</w:t>
      </w:r>
      <w:proofErr w:type="spellEnd"/>
      <w:r w:rsidRPr="00F041AD">
        <w:rPr>
          <w:color w:val="333333" w:themeColor="background1"/>
        </w:rPr>
        <w:t xml:space="preserve"> Table 612.1 with the SB 2030 Energy Standard Tool would allow the appendix code to determine energy use intensity targets based on individual building-specific characteristics.</w:t>
      </w:r>
      <w:r w:rsidRPr="00F041AD">
        <w:rPr>
          <w:color w:val="333333" w:themeColor="background1"/>
        </w:rPr>
        <w:br/>
      </w:r>
      <w:r w:rsidRPr="00F041AD">
        <w:rPr>
          <w:color w:val="333333" w:themeColor="background1"/>
        </w:rPr>
        <w:br/>
        <w:t xml:space="preserve">Specifically, replacing </w:t>
      </w:r>
      <w:proofErr w:type="spellStart"/>
      <w:r w:rsidRPr="00F041AD">
        <w:rPr>
          <w:color w:val="333333" w:themeColor="background1"/>
        </w:rPr>
        <w:t>IgCC</w:t>
      </w:r>
      <w:proofErr w:type="spellEnd"/>
      <w:r w:rsidRPr="00F041AD">
        <w:rPr>
          <w:color w:val="333333" w:themeColor="background1"/>
        </w:rPr>
        <w:t xml:space="preserve"> Table 612.1 with the SB 2030 Energy Standard Tool would allow the appendix code to base energy use intensity targets on individual building-specific characteristics. This would address the issue that, as a design-based code targeted at a limited number of building types, the </w:t>
      </w:r>
      <w:proofErr w:type="spellStart"/>
      <w:r w:rsidRPr="00F041AD">
        <w:rPr>
          <w:color w:val="333333" w:themeColor="background1"/>
        </w:rPr>
        <w:t>IgCC</w:t>
      </w:r>
      <w:proofErr w:type="spellEnd"/>
      <w:r w:rsidRPr="00F041AD">
        <w:rPr>
          <w:color w:val="333333" w:themeColor="background1"/>
        </w:rPr>
        <w:t xml:space="preserve"> 2015 does not account for atypical usage patterns or mixed-use building types.</w:t>
      </w:r>
      <w:r w:rsidRPr="00F041AD">
        <w:rPr>
          <w:color w:val="333333" w:themeColor="background1"/>
        </w:rPr>
        <w:br/>
      </w:r>
      <w:r w:rsidRPr="00F041AD">
        <w:rPr>
          <w:color w:val="333333" w:themeColor="background1"/>
        </w:rPr>
        <w:br/>
        <w:t>This proposed appendix code would not necessarily be able to be adopted by all new buildings in the state immediately. The recommendation, also described in the CSEO report, suggests phasing compliance requirements over time based on building type, as follows:</w:t>
      </w:r>
      <w:r w:rsidRPr="00F041AD">
        <w:rPr>
          <w:color w:val="333333" w:themeColor="background1"/>
        </w:rPr>
        <w:br/>
      </w:r>
      <w:r w:rsidRPr="00F041AD">
        <w:rPr>
          <w:color w:val="333333" w:themeColor="background1"/>
          <w:szCs w:val="20"/>
        </w:rPr>
        <w:br/>
        <w:t>- “All new and renovated commercial buildings in the state, and all multi-family residential buildings four or more stories in height, must comply with SB2030, through a stepped process, by 2020.”</w:t>
      </w:r>
      <w:r w:rsidRPr="00F041AD">
        <w:rPr>
          <w:color w:val="333333" w:themeColor="background1"/>
          <w:szCs w:val="20"/>
        </w:rPr>
        <w:br/>
        <w:t>- “All new one and two family dwellings and multi-family residential buildings three stories or less in height in the state must comply with SB2030, through a stepped process, by 2025.”</w:t>
      </w:r>
      <w:r w:rsidRPr="00F041AD">
        <w:rPr>
          <w:color w:val="333333" w:themeColor="background1"/>
          <w:sz w:val="22"/>
          <w:vertAlign w:val="superscript"/>
        </w:rPr>
        <w:endnoteReference w:id="174"/>
      </w:r>
      <w:r w:rsidRPr="00F041AD">
        <w:rPr>
          <w:color w:val="333333" w:themeColor="background1"/>
          <w:sz w:val="22"/>
        </w:rPr>
        <w:br/>
      </w:r>
      <w:r w:rsidRPr="00F041AD">
        <w:rPr>
          <w:b/>
          <w:color w:val="333333" w:themeColor="background1"/>
        </w:rPr>
        <w:br/>
        <w:t>Champions/Key Participants:</w:t>
      </w:r>
      <w:r w:rsidRPr="00F041AD">
        <w:rPr>
          <w:b/>
          <w:color w:val="333333" w:themeColor="background1"/>
        </w:rPr>
        <w:br/>
        <w:t xml:space="preserve">- </w:t>
      </w:r>
      <w:r w:rsidRPr="00F041AD">
        <w:rPr>
          <w:color w:val="333333" w:themeColor="background1"/>
          <w:u w:val="single"/>
        </w:rPr>
        <w:t>Minnesota Department of Commerce</w:t>
      </w:r>
      <w:r w:rsidRPr="00F041AD">
        <w:rPr>
          <w:color w:val="333333" w:themeColor="background1"/>
        </w:rPr>
        <w:t xml:space="preserve"> provides technical resources</w:t>
      </w:r>
      <w:r w:rsidRPr="00F041AD">
        <w:rPr>
          <w:color w:val="333333" w:themeColor="background1"/>
        </w:rPr>
        <w:br/>
      </w:r>
      <w:r w:rsidRPr="00F041AD">
        <w:rPr>
          <w:b/>
          <w:color w:val="333333" w:themeColor="background1"/>
        </w:rPr>
        <w:t xml:space="preserve">- </w:t>
      </w:r>
      <w:r w:rsidRPr="00F041AD">
        <w:rPr>
          <w:color w:val="333333" w:themeColor="background1"/>
          <w:u w:val="single"/>
        </w:rPr>
        <w:t>Department of Labor and Industry</w:t>
      </w:r>
      <w:r w:rsidRPr="00F041AD">
        <w:rPr>
          <w:color w:val="333333" w:themeColor="background1"/>
        </w:rPr>
        <w:t xml:space="preserve"> would be the lead in rulemaking</w:t>
      </w:r>
      <w:r w:rsidRPr="00F041AD">
        <w:rPr>
          <w:color w:val="333333" w:themeColor="background1"/>
        </w:rPr>
        <w:br/>
      </w:r>
      <w:r w:rsidRPr="00F041AD">
        <w:rPr>
          <w:b/>
          <w:color w:val="333333" w:themeColor="background1"/>
        </w:rPr>
        <w:t xml:space="preserve">- </w:t>
      </w:r>
      <w:r w:rsidRPr="00F041AD">
        <w:rPr>
          <w:color w:val="333333" w:themeColor="background1"/>
          <w:u w:val="single"/>
        </w:rPr>
        <w:t xml:space="preserve">Center for Sustainable Building Research </w:t>
      </w:r>
      <w:r w:rsidRPr="00F041AD">
        <w:rPr>
          <w:color w:val="333333" w:themeColor="background1"/>
        </w:rPr>
        <w:t>is the lead designated by law to coordinate development and implementation of SB2030 together with MN Department of Commerce.</w:t>
      </w:r>
      <w:r w:rsidRPr="00F041AD">
        <w:rPr>
          <w:color w:val="333333" w:themeColor="background1"/>
        </w:rPr>
        <w:br/>
      </w:r>
      <w:r w:rsidRPr="00F041AD">
        <w:rPr>
          <w:b/>
          <w:color w:val="333333" w:themeColor="background1"/>
        </w:rPr>
        <w:t xml:space="preserve">- </w:t>
      </w:r>
      <w:r w:rsidRPr="00F041AD">
        <w:rPr>
          <w:color w:val="333333" w:themeColor="background1"/>
          <w:u w:val="single"/>
        </w:rPr>
        <w:t xml:space="preserve">CEE </w:t>
      </w:r>
      <w:r w:rsidRPr="00F041AD">
        <w:rPr>
          <w:color w:val="333333" w:themeColor="background1"/>
        </w:rPr>
        <w:t>supports project management for the SB2030 standard</w:t>
      </w:r>
      <w:r w:rsidRPr="00F041AD">
        <w:rPr>
          <w:color w:val="333333" w:themeColor="background1"/>
        </w:rPr>
        <w:br/>
      </w:r>
      <w:r w:rsidRPr="00F041AD">
        <w:rPr>
          <w:b/>
          <w:color w:val="333333" w:themeColor="background1"/>
        </w:rPr>
        <w:t xml:space="preserve">- </w:t>
      </w:r>
      <w:r w:rsidRPr="00F041AD">
        <w:rPr>
          <w:color w:val="333333" w:themeColor="background1"/>
          <w:u w:val="single"/>
        </w:rPr>
        <w:t>Fresh Energy</w:t>
      </w:r>
      <w:r w:rsidRPr="00F041AD">
        <w:rPr>
          <w:color w:val="333333" w:themeColor="background1"/>
        </w:rPr>
        <w:t xml:space="preserve"> supports policy development to promote energy efficiency.</w:t>
      </w:r>
      <w:r w:rsidRPr="00F041AD">
        <w:rPr>
          <w:color w:val="333333" w:themeColor="background1"/>
        </w:rPr>
        <w:br/>
      </w:r>
      <w:r w:rsidRPr="00F041AD">
        <w:rPr>
          <w:b/>
          <w:color w:val="333333" w:themeColor="background1"/>
        </w:rPr>
        <w:t xml:space="preserve">- </w:t>
      </w:r>
      <w:r w:rsidRPr="00F041AD">
        <w:rPr>
          <w:color w:val="333333" w:themeColor="background1"/>
          <w:u w:val="single"/>
        </w:rPr>
        <w:t xml:space="preserve">The </w:t>
      </w:r>
      <w:proofErr w:type="spellStart"/>
      <w:r w:rsidRPr="00F041AD">
        <w:rPr>
          <w:color w:val="333333" w:themeColor="background1"/>
          <w:u w:val="single"/>
        </w:rPr>
        <w:t>Weidt</w:t>
      </w:r>
      <w:proofErr w:type="spellEnd"/>
      <w:r w:rsidRPr="00F041AD">
        <w:rPr>
          <w:color w:val="333333" w:themeColor="background1"/>
          <w:u w:val="single"/>
        </w:rPr>
        <w:t xml:space="preserve"> Group</w:t>
      </w:r>
      <w:r w:rsidRPr="00F041AD">
        <w:rPr>
          <w:color w:val="333333" w:themeColor="background1"/>
          <w:vertAlign w:val="subscript"/>
        </w:rPr>
        <w:t xml:space="preserve"> </w:t>
      </w:r>
      <w:r w:rsidRPr="00F041AD">
        <w:rPr>
          <w:color w:val="333333" w:themeColor="background1"/>
        </w:rPr>
        <w:t>supports project management for the SB2030 standard</w:t>
      </w:r>
      <w:r w:rsidRPr="00F041AD">
        <w:rPr>
          <w:color w:val="333333" w:themeColor="background1"/>
        </w:rPr>
        <w:br/>
      </w:r>
      <w:r w:rsidRPr="00F041AD">
        <w:rPr>
          <w:b/>
          <w:color w:val="333333" w:themeColor="background1"/>
        </w:rPr>
        <w:t xml:space="preserve">- </w:t>
      </w:r>
      <w:r w:rsidRPr="00F041AD">
        <w:rPr>
          <w:color w:val="333333" w:themeColor="background1"/>
          <w:u w:val="single"/>
        </w:rPr>
        <w:t>LHB</w:t>
      </w:r>
      <w:r w:rsidRPr="00F041AD">
        <w:rPr>
          <w:color w:val="333333" w:themeColor="background1"/>
        </w:rPr>
        <w:t xml:space="preserve"> supports project management for the SB2030 standard</w:t>
      </w:r>
    </w:p>
    <w:p w14:paraId="035D51B2" w14:textId="77777777" w:rsidR="00B65A50" w:rsidRPr="00F041AD" w:rsidRDefault="00B65A50" w:rsidP="00164A5A">
      <w:pPr>
        <w:pStyle w:val="5BodyText"/>
        <w:ind w:left="720"/>
        <w:rPr>
          <w:b/>
          <w:color w:val="333333" w:themeColor="background1"/>
        </w:rPr>
      </w:pPr>
    </w:p>
    <w:p w14:paraId="2E13CB1E" w14:textId="77777777" w:rsidR="00B65A50" w:rsidRPr="00F041AD" w:rsidRDefault="00B65A50" w:rsidP="00164A5A">
      <w:pPr>
        <w:pStyle w:val="5BodyText"/>
        <w:numPr>
          <w:ilvl w:val="0"/>
          <w:numId w:val="84"/>
        </w:numPr>
        <w:rPr>
          <w:color w:val="333333" w:themeColor="background1"/>
        </w:rPr>
      </w:pPr>
      <w:r w:rsidRPr="00F041AD">
        <w:rPr>
          <w:b/>
          <w:color w:val="333333" w:themeColor="background1"/>
        </w:rPr>
        <w:t>Help city building officials understand the appendix building code.</w:t>
      </w:r>
      <w:r w:rsidRPr="00F041AD">
        <w:rPr>
          <w:color w:val="333333" w:themeColor="background1"/>
        </w:rPr>
        <w:t xml:space="preserve"> </w:t>
      </w:r>
      <w:r w:rsidRPr="00F041AD">
        <w:rPr>
          <w:b/>
          <w:color w:val="333333" w:themeColor="background1"/>
        </w:rPr>
        <w:br/>
      </w:r>
      <w:r w:rsidRPr="00F041AD">
        <w:rPr>
          <w:color w:val="333333" w:themeColor="background1"/>
        </w:rPr>
        <w:t>If the appendix code is added by DLI, it would be up to local governments to adopt it. Education and outreach to local jurisdictions would be necessary to ensure that they are informed about the appendix code and that they fully understand the benefits and costs when deciding whether or not to implement it.</w:t>
      </w:r>
      <w:r w:rsidRPr="00F041AD">
        <w:rPr>
          <w:color w:val="333333" w:themeColor="background1"/>
        </w:rPr>
        <w:br/>
      </w:r>
      <w:r w:rsidRPr="00F041AD">
        <w:rPr>
          <w:color w:val="333333" w:themeColor="background1"/>
        </w:rPr>
        <w:br/>
      </w:r>
      <w:r w:rsidRPr="00F041AD">
        <w:rPr>
          <w:b/>
          <w:color w:val="333333" w:themeColor="background1"/>
        </w:rPr>
        <w:t>Champions/Key Participants</w:t>
      </w:r>
      <w:r w:rsidRPr="00F041AD">
        <w:rPr>
          <w:color w:val="333333" w:themeColor="background1"/>
        </w:rPr>
        <w:t xml:space="preserve">: </w:t>
      </w:r>
    </w:p>
    <w:p w14:paraId="4864133E" w14:textId="77777777" w:rsidR="00B65A50" w:rsidRPr="00F041AD" w:rsidRDefault="00B65A50" w:rsidP="00164A5A">
      <w:pPr>
        <w:pStyle w:val="5BodyText"/>
        <w:ind w:left="720"/>
        <w:rPr>
          <w:color w:val="333333" w:themeColor="background1"/>
        </w:rPr>
      </w:pPr>
      <w:r w:rsidRPr="00F041AD">
        <w:rPr>
          <w:b/>
          <w:color w:val="333333" w:themeColor="background1"/>
        </w:rPr>
        <w:lastRenderedPageBreak/>
        <w:t xml:space="preserve">- </w:t>
      </w:r>
      <w:r w:rsidRPr="00F041AD">
        <w:rPr>
          <w:color w:val="333333" w:themeColor="background1"/>
          <w:u w:val="single"/>
        </w:rPr>
        <w:t>Minnesota Pollution Control Agency</w:t>
      </w:r>
      <w:r w:rsidRPr="00F041AD">
        <w:rPr>
          <w:color w:val="333333" w:themeColor="background1"/>
        </w:rPr>
        <w:t xml:space="preserve">, via </w:t>
      </w:r>
      <w:proofErr w:type="spellStart"/>
      <w:r w:rsidRPr="00F041AD">
        <w:rPr>
          <w:color w:val="333333" w:themeColor="background1"/>
        </w:rPr>
        <w:t>GreenStep</w:t>
      </w:r>
      <w:proofErr w:type="spellEnd"/>
      <w:r w:rsidRPr="00F041AD">
        <w:rPr>
          <w:color w:val="333333" w:themeColor="background1"/>
        </w:rPr>
        <w:t xml:space="preserve"> Cities, can provide support to local building officials in their decision making process on whether and how to adopt the appendix code.</w:t>
      </w:r>
    </w:p>
    <w:p w14:paraId="42430717" w14:textId="77777777" w:rsidR="00B65A50" w:rsidRPr="00F041AD" w:rsidRDefault="00B65A50" w:rsidP="00164A5A">
      <w:pPr>
        <w:pStyle w:val="5BodyText"/>
        <w:ind w:left="720"/>
        <w:rPr>
          <w:color w:val="333333" w:themeColor="background1"/>
          <w:u w:val="single"/>
        </w:rPr>
      </w:pPr>
      <w:r w:rsidRPr="00F041AD">
        <w:rPr>
          <w:b/>
          <w:color w:val="333333" w:themeColor="background1"/>
        </w:rPr>
        <w:t xml:space="preserve">- </w:t>
      </w:r>
      <w:r w:rsidRPr="00F041AD">
        <w:rPr>
          <w:color w:val="333333" w:themeColor="background1"/>
          <w:u w:val="single"/>
        </w:rPr>
        <w:t xml:space="preserve">Minnesota Department of Commerce </w:t>
      </w:r>
      <w:r w:rsidRPr="00F041AD">
        <w:rPr>
          <w:color w:val="333333" w:themeColor="background1"/>
        </w:rPr>
        <w:t>provides technical resources</w:t>
      </w:r>
    </w:p>
    <w:p w14:paraId="2073E7D5" w14:textId="77777777" w:rsidR="00B65A50" w:rsidRPr="00F041AD" w:rsidRDefault="00B65A50" w:rsidP="00164A5A">
      <w:pPr>
        <w:pStyle w:val="5BodyText"/>
        <w:ind w:left="720"/>
        <w:rPr>
          <w:color w:val="333333" w:themeColor="background1"/>
          <w:u w:val="single"/>
        </w:rPr>
      </w:pPr>
      <w:r w:rsidRPr="00F041AD">
        <w:rPr>
          <w:b/>
          <w:color w:val="333333" w:themeColor="background1"/>
        </w:rPr>
        <w:t xml:space="preserve">- </w:t>
      </w:r>
      <w:r w:rsidRPr="00F041AD">
        <w:rPr>
          <w:color w:val="333333" w:themeColor="background1"/>
          <w:u w:val="single"/>
        </w:rPr>
        <w:t xml:space="preserve">Center for Sustainable Building Research </w:t>
      </w:r>
      <w:r w:rsidRPr="00F041AD">
        <w:rPr>
          <w:color w:val="333333" w:themeColor="background1"/>
        </w:rPr>
        <w:t>is the lead designated by law to coordinate development and implementation of SB2030 together with MN Department of Commerce.</w:t>
      </w:r>
    </w:p>
    <w:p w14:paraId="19918E21" w14:textId="77777777" w:rsidR="00B65A50" w:rsidRPr="00F041AD" w:rsidRDefault="00B65A50" w:rsidP="00164A5A">
      <w:pPr>
        <w:pStyle w:val="5BodyText"/>
        <w:ind w:left="720"/>
        <w:rPr>
          <w:color w:val="333333" w:themeColor="background1"/>
          <w:u w:val="single"/>
        </w:rPr>
      </w:pPr>
      <w:r w:rsidRPr="00F041AD">
        <w:rPr>
          <w:b/>
          <w:color w:val="333333" w:themeColor="background1"/>
        </w:rPr>
        <w:t xml:space="preserve">- </w:t>
      </w:r>
      <w:r w:rsidRPr="00F041AD">
        <w:rPr>
          <w:color w:val="333333" w:themeColor="background1"/>
          <w:u w:val="single"/>
        </w:rPr>
        <w:t xml:space="preserve">The </w:t>
      </w:r>
      <w:proofErr w:type="spellStart"/>
      <w:r w:rsidRPr="00F041AD">
        <w:rPr>
          <w:color w:val="333333" w:themeColor="background1"/>
          <w:u w:val="single"/>
        </w:rPr>
        <w:t>Weidt</w:t>
      </w:r>
      <w:proofErr w:type="spellEnd"/>
      <w:r w:rsidRPr="00F041AD">
        <w:rPr>
          <w:color w:val="333333" w:themeColor="background1"/>
          <w:u w:val="single"/>
        </w:rPr>
        <w:t xml:space="preserve"> Group</w:t>
      </w:r>
      <w:r w:rsidRPr="00F041AD">
        <w:rPr>
          <w:color w:val="333333" w:themeColor="background1"/>
          <w:vertAlign w:val="subscript"/>
        </w:rPr>
        <w:t xml:space="preserve"> </w:t>
      </w:r>
      <w:r w:rsidRPr="00F041AD">
        <w:rPr>
          <w:color w:val="333333" w:themeColor="background1"/>
        </w:rPr>
        <w:t>supports project management for the SB2030 standard</w:t>
      </w:r>
    </w:p>
    <w:p w14:paraId="000640DD" w14:textId="77777777" w:rsidR="00B65A50" w:rsidRPr="00F041AD" w:rsidRDefault="00B65A50" w:rsidP="00164A5A">
      <w:pPr>
        <w:pStyle w:val="5BodyText"/>
        <w:ind w:left="720"/>
        <w:rPr>
          <w:color w:val="333333" w:themeColor="background1"/>
          <w:u w:val="single"/>
        </w:rPr>
      </w:pPr>
      <w:r w:rsidRPr="00F041AD">
        <w:rPr>
          <w:b/>
          <w:color w:val="333333" w:themeColor="background1"/>
        </w:rPr>
        <w:t xml:space="preserve">- </w:t>
      </w:r>
      <w:r w:rsidRPr="00F041AD">
        <w:rPr>
          <w:color w:val="333333" w:themeColor="background1"/>
          <w:u w:val="single"/>
        </w:rPr>
        <w:t>LHB</w:t>
      </w:r>
      <w:r w:rsidRPr="00F041AD">
        <w:rPr>
          <w:color w:val="333333" w:themeColor="background1"/>
        </w:rPr>
        <w:t xml:space="preserve"> supports project management for the SB2030 standard</w:t>
      </w:r>
    </w:p>
    <w:p w14:paraId="0AF30C98" w14:textId="77777777" w:rsidR="00B65A50" w:rsidRPr="00F041AD" w:rsidRDefault="00B65A50" w:rsidP="00164A5A">
      <w:pPr>
        <w:pStyle w:val="5BodyText"/>
        <w:ind w:left="720"/>
        <w:rPr>
          <w:color w:val="333333" w:themeColor="background1"/>
        </w:rPr>
      </w:pPr>
    </w:p>
    <w:p w14:paraId="2936E070" w14:textId="77777777" w:rsidR="00B65A50" w:rsidRPr="00F041AD" w:rsidRDefault="00B65A50" w:rsidP="00164A5A">
      <w:pPr>
        <w:pStyle w:val="5BodyText"/>
        <w:numPr>
          <w:ilvl w:val="0"/>
          <w:numId w:val="84"/>
        </w:numPr>
        <w:rPr>
          <w:color w:val="333333" w:themeColor="background1"/>
        </w:rPr>
      </w:pPr>
      <w:r w:rsidRPr="00F041AD">
        <w:rPr>
          <w:b/>
          <w:color w:val="333333" w:themeColor="background1"/>
        </w:rPr>
        <w:t>Train architects, engineers, and contractors to design and construct buildings that meet low-energy or zero energy goals</w:t>
      </w:r>
      <w:r w:rsidRPr="00F041AD">
        <w:rPr>
          <w:b/>
          <w:i/>
          <w:color w:val="333333" w:themeColor="background1"/>
        </w:rPr>
        <w:t>.</w:t>
      </w:r>
      <w:r w:rsidRPr="00F041AD">
        <w:rPr>
          <w:color w:val="333333" w:themeColor="background1"/>
        </w:rPr>
        <w:br/>
        <w:t>As local jurisdictions begin to adopt the appendix code, it is critical that architects, engineers, and contractors are able to effectively design and construct buildings that meet the standards of the code. Training for these actors is an important step in achieving the success of this strategy, and can build off of the existing SB 2030 Training Series offered each year.</w:t>
      </w:r>
      <w:r w:rsidRPr="00F041AD">
        <w:rPr>
          <w:b/>
          <w:color w:val="333333" w:themeColor="background1"/>
        </w:rPr>
        <w:br/>
      </w:r>
      <w:r w:rsidRPr="00F041AD">
        <w:rPr>
          <w:b/>
          <w:color w:val="333333" w:themeColor="background1"/>
        </w:rPr>
        <w:br/>
        <w:t>Champions/Key Participants</w:t>
      </w:r>
      <w:r w:rsidRPr="00F041AD">
        <w:rPr>
          <w:color w:val="333333" w:themeColor="background1"/>
        </w:rPr>
        <w:t xml:space="preserve">: </w:t>
      </w:r>
    </w:p>
    <w:p w14:paraId="394CF92E"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u w:val="single"/>
        </w:rPr>
        <w:t>Minnesota Department of Commerce</w:t>
      </w:r>
      <w:r w:rsidRPr="00F041AD">
        <w:rPr>
          <w:color w:val="333333" w:themeColor="background1"/>
        </w:rPr>
        <w:t xml:space="preserve"> can facilitate technical resources</w:t>
      </w:r>
    </w:p>
    <w:p w14:paraId="59002ED4"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u w:val="single"/>
        </w:rPr>
        <w:t>Center for Sustainable Building Research</w:t>
      </w:r>
      <w:r w:rsidRPr="00F041AD">
        <w:rPr>
          <w:color w:val="333333" w:themeColor="background1"/>
        </w:rPr>
        <w:t xml:space="preserve"> can provide resources for training on the SB2030 code</w:t>
      </w:r>
    </w:p>
    <w:p w14:paraId="7711620A"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u w:val="single"/>
        </w:rPr>
        <w:t xml:space="preserve">The </w:t>
      </w:r>
      <w:proofErr w:type="spellStart"/>
      <w:r w:rsidRPr="00F041AD">
        <w:rPr>
          <w:color w:val="333333" w:themeColor="background1"/>
          <w:u w:val="single"/>
        </w:rPr>
        <w:t>Weidt</w:t>
      </w:r>
      <w:proofErr w:type="spellEnd"/>
      <w:r w:rsidRPr="00F041AD">
        <w:rPr>
          <w:color w:val="333333" w:themeColor="background1"/>
          <w:u w:val="single"/>
        </w:rPr>
        <w:t xml:space="preserve"> Group</w:t>
      </w:r>
      <w:r w:rsidRPr="00F041AD">
        <w:rPr>
          <w:color w:val="333333" w:themeColor="background1"/>
        </w:rPr>
        <w:t xml:space="preserve"> can provide resources for training on B3</w:t>
      </w:r>
    </w:p>
    <w:p w14:paraId="70EB1077"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u w:val="single"/>
        </w:rPr>
        <w:t>LHB</w:t>
      </w:r>
      <w:r w:rsidRPr="00F041AD">
        <w:rPr>
          <w:color w:val="333333" w:themeColor="background1"/>
        </w:rPr>
        <w:t xml:space="preserve"> can provide resources for training on design</w:t>
      </w:r>
    </w:p>
    <w:p w14:paraId="04E3A8BC"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rPr>
        <w:t>Local trade associations: AIA, ASHRAE, BOMA, BATC, USGBC</w:t>
      </w:r>
    </w:p>
    <w:p w14:paraId="2CCCDF62" w14:textId="77777777" w:rsidR="00B65A50" w:rsidRPr="00F041AD" w:rsidRDefault="00B65A50" w:rsidP="00164A5A">
      <w:pPr>
        <w:pStyle w:val="5BodyText"/>
        <w:rPr>
          <w:color w:val="333333" w:themeColor="background1"/>
        </w:rPr>
      </w:pPr>
    </w:p>
    <w:p w14:paraId="4AA27716" w14:textId="77777777" w:rsidR="00B65A50" w:rsidRPr="00F041AD" w:rsidRDefault="00B65A50" w:rsidP="00164A5A">
      <w:pPr>
        <w:pStyle w:val="5BodyText"/>
        <w:rPr>
          <w:b/>
          <w:i/>
          <w:color w:val="333333" w:themeColor="background1"/>
        </w:rPr>
      </w:pPr>
      <w:r w:rsidRPr="00F041AD">
        <w:rPr>
          <w:b/>
          <w:i/>
          <w:color w:val="333333" w:themeColor="background1"/>
        </w:rPr>
        <w:t>Success factors</w:t>
      </w:r>
    </w:p>
    <w:p w14:paraId="55BF6194" w14:textId="77777777" w:rsidR="00B65A50" w:rsidRPr="00F041AD" w:rsidRDefault="00B65A50" w:rsidP="00164A5A">
      <w:pPr>
        <w:pStyle w:val="5BodyText"/>
        <w:numPr>
          <w:ilvl w:val="0"/>
          <w:numId w:val="85"/>
        </w:numPr>
        <w:rPr>
          <w:color w:val="333333" w:themeColor="background1"/>
        </w:rPr>
      </w:pPr>
      <w:r w:rsidRPr="00F041AD">
        <w:rPr>
          <w:b/>
          <w:color w:val="333333" w:themeColor="background1"/>
        </w:rPr>
        <w:t xml:space="preserve">The Department of Labor and Industry opens a rulemaking to adopt SB 2030 as an appendix code. </w:t>
      </w:r>
      <w:r w:rsidRPr="00F041AD">
        <w:rPr>
          <w:color w:val="333333" w:themeColor="background1"/>
        </w:rPr>
        <w:t>This will require generating awareness of the benefits of this strategy and the specifics of the building code that must be in place to make it successful.</w:t>
      </w:r>
    </w:p>
    <w:p w14:paraId="2A0F5BC2" w14:textId="77777777" w:rsidR="00B65A50" w:rsidRPr="00F041AD" w:rsidRDefault="00B65A50" w:rsidP="00164A5A">
      <w:pPr>
        <w:pStyle w:val="5BodyText"/>
        <w:ind w:left="720"/>
        <w:rPr>
          <w:color w:val="333333" w:themeColor="background1"/>
        </w:rPr>
      </w:pPr>
    </w:p>
    <w:p w14:paraId="2A3FF805" w14:textId="77777777" w:rsidR="00B65A50" w:rsidRPr="00F041AD" w:rsidRDefault="00B65A50" w:rsidP="00164A5A">
      <w:pPr>
        <w:pStyle w:val="5BodyText"/>
        <w:numPr>
          <w:ilvl w:val="0"/>
          <w:numId w:val="85"/>
        </w:numPr>
        <w:rPr>
          <w:color w:val="333333" w:themeColor="background1"/>
        </w:rPr>
      </w:pPr>
      <w:r w:rsidRPr="00F041AD">
        <w:rPr>
          <w:b/>
          <w:color w:val="333333" w:themeColor="background1"/>
        </w:rPr>
        <w:t xml:space="preserve">The SB 2030 Energy Standard Tool addresses a greater variety of building types. </w:t>
      </w:r>
      <w:r w:rsidRPr="00F041AD">
        <w:rPr>
          <w:color w:val="333333" w:themeColor="background1"/>
        </w:rPr>
        <w:t>The SB 2030 Energy Standard Tool incorporates a building’s space type and use patterns to calculate building-specific energy use intensity targets. The tool currently encompasses 17 different buildings types, but it does not support single-family residences or certain specialized building types. By switching from a model based on 17 building types to one based on 45 space asset types, future iterations of the tool will be increasingly customizable, enabling users to build an SB 2030 Energy Standard from nearly any combination of uses. In addition to this planned evolution of the tool, support will be needed for the continued addition of specialized space asset types.</w:t>
      </w:r>
    </w:p>
    <w:p w14:paraId="731AA9C9" w14:textId="77777777" w:rsidR="00B65A50" w:rsidRPr="00F041AD" w:rsidRDefault="00B65A50" w:rsidP="00164A5A">
      <w:pPr>
        <w:pStyle w:val="5BodyText"/>
        <w:rPr>
          <w:color w:val="333333" w:themeColor="background1"/>
        </w:rPr>
      </w:pPr>
    </w:p>
    <w:p w14:paraId="60F07948" w14:textId="77777777" w:rsidR="00B65A50" w:rsidRPr="00F041AD" w:rsidRDefault="00B65A50" w:rsidP="00164A5A">
      <w:pPr>
        <w:pStyle w:val="5BodyText"/>
        <w:numPr>
          <w:ilvl w:val="0"/>
          <w:numId w:val="85"/>
        </w:numPr>
        <w:rPr>
          <w:color w:val="333333" w:themeColor="background1"/>
        </w:rPr>
      </w:pPr>
      <w:r w:rsidRPr="00F041AD">
        <w:rPr>
          <w:b/>
          <w:color w:val="333333" w:themeColor="background1"/>
        </w:rPr>
        <w:lastRenderedPageBreak/>
        <w:t>Distributed energy resources at the building-scale are cost-effective.</w:t>
      </w:r>
      <w:r w:rsidRPr="00F041AD">
        <w:rPr>
          <w:color w:val="333333" w:themeColor="background1"/>
        </w:rPr>
        <w:t xml:space="preserve"> Approaching zero energy buildings will require an increased use of on-site renewable energy resources, demand response, and load management.</w:t>
      </w:r>
    </w:p>
    <w:p w14:paraId="0469A357" w14:textId="77777777" w:rsidR="00B65A50" w:rsidRPr="00F041AD" w:rsidRDefault="00B65A50" w:rsidP="00164A5A">
      <w:pPr>
        <w:pStyle w:val="5BodyText"/>
        <w:rPr>
          <w:b/>
          <w:color w:val="333333" w:themeColor="background1"/>
        </w:rPr>
      </w:pPr>
    </w:p>
    <w:p w14:paraId="63ABEE76" w14:textId="77777777" w:rsidR="00B65A50" w:rsidRPr="00F041AD" w:rsidRDefault="00B65A50" w:rsidP="00164A5A">
      <w:pPr>
        <w:pStyle w:val="5BodyText"/>
        <w:numPr>
          <w:ilvl w:val="0"/>
          <w:numId w:val="85"/>
        </w:numPr>
        <w:rPr>
          <w:color w:val="333333" w:themeColor="background1"/>
        </w:rPr>
      </w:pPr>
      <w:r w:rsidRPr="00F041AD">
        <w:rPr>
          <w:b/>
          <w:color w:val="333333" w:themeColor="background1"/>
        </w:rPr>
        <w:t>Cities have expertise and capacity required to verify compliance with performance-based energy codes</w:t>
      </w:r>
      <w:r w:rsidRPr="00F041AD">
        <w:rPr>
          <w:b/>
          <w:i/>
          <w:color w:val="333333" w:themeColor="background1"/>
        </w:rPr>
        <w:t xml:space="preserve">. </w:t>
      </w:r>
      <w:r w:rsidRPr="00F041AD">
        <w:rPr>
          <w:color w:val="333333" w:themeColor="background1"/>
        </w:rPr>
        <w:t xml:space="preserve">Unlike standard building codes, ensuring compliance with SB 2030 and similar performance-based energy codes requires understanding of whole building energy simulation and associated software. </w:t>
      </w:r>
    </w:p>
    <w:p w14:paraId="55E80500" w14:textId="77777777" w:rsidR="00B65A50" w:rsidRPr="00F041AD" w:rsidRDefault="00B65A50" w:rsidP="00164A5A">
      <w:pPr>
        <w:pStyle w:val="5BodyText"/>
        <w:rPr>
          <w:b/>
          <w:color w:val="333333" w:themeColor="background1"/>
        </w:rPr>
      </w:pPr>
    </w:p>
    <w:p w14:paraId="4114AC90" w14:textId="77777777" w:rsidR="00B65A50" w:rsidRPr="00F041AD" w:rsidRDefault="00B65A50" w:rsidP="00164A5A">
      <w:pPr>
        <w:pStyle w:val="5BodyText"/>
        <w:numPr>
          <w:ilvl w:val="0"/>
          <w:numId w:val="85"/>
        </w:numPr>
        <w:rPr>
          <w:color w:val="333333" w:themeColor="background1"/>
        </w:rPr>
      </w:pPr>
      <w:r w:rsidRPr="00F041AD">
        <w:rPr>
          <w:b/>
          <w:color w:val="333333" w:themeColor="background1"/>
        </w:rPr>
        <w:t xml:space="preserve">Other potential barriers to adopting SB 2030 as an appendix code have been addressed. </w:t>
      </w:r>
      <w:r w:rsidRPr="00F041AD">
        <w:rPr>
          <w:color w:val="333333" w:themeColor="background1"/>
        </w:rPr>
        <w:t>Both stakeholders and the CSEO process have identified additional potential barriers to address, including: cost effectiveness of SB 2030 buildings, market acceptance of Standard, availability of technology to meet performance requirements, interaction with existing Conservation Improvement Programs, and accountability within policy enforcement.</w:t>
      </w:r>
    </w:p>
    <w:p w14:paraId="512CE8CD" w14:textId="77777777" w:rsidR="00B65A50" w:rsidRPr="00F041AD" w:rsidRDefault="00B65A50" w:rsidP="00164A5A">
      <w:pPr>
        <w:pStyle w:val="5BodyText"/>
        <w:rPr>
          <w:color w:val="333333" w:themeColor="background1"/>
        </w:rPr>
      </w:pPr>
    </w:p>
    <w:p w14:paraId="42EBEE2B" w14:textId="77777777" w:rsidR="00B65A50" w:rsidRPr="00F041AD" w:rsidRDefault="00B65A50" w:rsidP="00164A5A">
      <w:pPr>
        <w:pStyle w:val="5BodyText"/>
        <w:rPr>
          <w:i/>
          <w:color w:val="333333" w:themeColor="background1"/>
        </w:rPr>
      </w:pPr>
      <w:r w:rsidRPr="00F041AD">
        <w:rPr>
          <w:b/>
          <w:i/>
          <w:color w:val="333333" w:themeColor="background1"/>
        </w:rPr>
        <w:t>Indicators of strategy success</w:t>
      </w:r>
    </w:p>
    <w:p w14:paraId="701CBE76" w14:textId="77777777" w:rsidR="00B65A50" w:rsidRPr="00F041AD" w:rsidRDefault="00B65A50" w:rsidP="00164A5A">
      <w:pPr>
        <w:pStyle w:val="5BodyText"/>
        <w:numPr>
          <w:ilvl w:val="0"/>
          <w:numId w:val="86"/>
        </w:numPr>
        <w:rPr>
          <w:i/>
          <w:color w:val="333333" w:themeColor="background1"/>
        </w:rPr>
      </w:pPr>
      <w:r w:rsidRPr="00F041AD">
        <w:rPr>
          <w:color w:val="333333" w:themeColor="background1"/>
        </w:rPr>
        <w:t>Number and square feet of SB 2030 buildings</w:t>
      </w:r>
      <w:r w:rsidRPr="00F041AD">
        <w:rPr>
          <w:rStyle w:val="EndnoteReference"/>
          <w:color w:val="333333" w:themeColor="background1"/>
        </w:rPr>
        <w:endnoteReference w:id="175"/>
      </w:r>
    </w:p>
    <w:p w14:paraId="19C3A2B7" w14:textId="77777777" w:rsidR="00B65A50" w:rsidRPr="00F041AD" w:rsidRDefault="00B65A50" w:rsidP="00164A5A">
      <w:pPr>
        <w:pStyle w:val="5BodyText"/>
        <w:numPr>
          <w:ilvl w:val="0"/>
          <w:numId w:val="86"/>
        </w:numPr>
        <w:rPr>
          <w:i/>
          <w:color w:val="333333" w:themeColor="background1"/>
        </w:rPr>
      </w:pPr>
      <w:r w:rsidRPr="00F041AD">
        <w:rPr>
          <w:color w:val="333333" w:themeColor="background1"/>
        </w:rPr>
        <w:t>Annual energy saved by SB 2030 buildings</w:t>
      </w:r>
      <w:r w:rsidRPr="00F041AD">
        <w:rPr>
          <w:rStyle w:val="EndnoteReference"/>
          <w:color w:val="333333" w:themeColor="background1"/>
        </w:rPr>
        <w:endnoteReference w:id="176"/>
      </w:r>
    </w:p>
    <w:p w14:paraId="0146050D" w14:textId="77777777" w:rsidR="00B65A50" w:rsidRPr="00F041AD" w:rsidRDefault="00B65A50" w:rsidP="00164A5A">
      <w:pPr>
        <w:pStyle w:val="5BodyText"/>
        <w:numPr>
          <w:ilvl w:val="0"/>
          <w:numId w:val="86"/>
        </w:numPr>
        <w:rPr>
          <w:i/>
          <w:color w:val="333333" w:themeColor="background1"/>
        </w:rPr>
      </w:pPr>
      <w:r w:rsidRPr="00F041AD">
        <w:rPr>
          <w:color w:val="333333" w:themeColor="background1"/>
        </w:rPr>
        <w:t>Number of cities that have adopted SB 2030 into their building code</w:t>
      </w:r>
    </w:p>
    <w:p w14:paraId="763C6A88" w14:textId="77777777" w:rsidR="00B65A50" w:rsidRPr="00F041AD" w:rsidRDefault="00B65A50" w:rsidP="00164A5A">
      <w:pPr>
        <w:pStyle w:val="5BodyText"/>
        <w:rPr>
          <w:color w:val="333333" w:themeColor="background1"/>
        </w:rPr>
      </w:pPr>
    </w:p>
    <w:p w14:paraId="06CFE70F" w14:textId="77777777" w:rsidR="00B65A50" w:rsidRPr="00F041AD" w:rsidRDefault="00B65A50" w:rsidP="00164A5A">
      <w:pPr>
        <w:pStyle w:val="5BodyText"/>
        <w:rPr>
          <w:i/>
          <w:color w:val="333333" w:themeColor="background1"/>
        </w:rPr>
      </w:pPr>
      <w:r w:rsidRPr="00F041AD">
        <w:rPr>
          <w:b/>
          <w:i/>
          <w:color w:val="333333" w:themeColor="background1"/>
        </w:rPr>
        <w:t>Cross-sector opportunities and synergies</w:t>
      </w:r>
    </w:p>
    <w:p w14:paraId="70DFEF02" w14:textId="77777777" w:rsidR="00B65A50" w:rsidRPr="00F041AD" w:rsidRDefault="00B65A50" w:rsidP="00164A5A">
      <w:pPr>
        <w:pStyle w:val="5BodyText"/>
        <w:numPr>
          <w:ilvl w:val="0"/>
          <w:numId w:val="87"/>
        </w:numPr>
        <w:rPr>
          <w:color w:val="333333" w:themeColor="background1"/>
        </w:rPr>
      </w:pPr>
      <w:r w:rsidRPr="00F041AD">
        <w:rPr>
          <w:color w:val="333333" w:themeColor="background1"/>
        </w:rPr>
        <w:t>Improved</w:t>
      </w:r>
      <w:r w:rsidRPr="00F041AD">
        <w:rPr>
          <w:b/>
          <w:color w:val="333333" w:themeColor="background1"/>
        </w:rPr>
        <w:t xml:space="preserve"> energy data access</w:t>
      </w:r>
      <w:r w:rsidRPr="00F041AD">
        <w:rPr>
          <w:color w:val="333333" w:themeColor="background1"/>
        </w:rPr>
        <w:t xml:space="preserve"> is required for verifying compliance, because SB 2030 is a performance-based standard and thus relies on energy use data during building operations.</w:t>
      </w:r>
    </w:p>
    <w:p w14:paraId="59E10148" w14:textId="77777777" w:rsidR="00B65A50" w:rsidRPr="00F041AD" w:rsidRDefault="00B65A50" w:rsidP="00164A5A">
      <w:pPr>
        <w:pStyle w:val="5BodyText"/>
        <w:numPr>
          <w:ilvl w:val="0"/>
          <w:numId w:val="87"/>
        </w:numPr>
        <w:rPr>
          <w:color w:val="333333" w:themeColor="background1"/>
        </w:rPr>
      </w:pPr>
      <w:r w:rsidRPr="00F041AD">
        <w:rPr>
          <w:b/>
          <w:color w:val="333333" w:themeColor="background1"/>
        </w:rPr>
        <w:t>Local governments</w:t>
      </w:r>
      <w:r w:rsidRPr="00F041AD">
        <w:rPr>
          <w:color w:val="333333" w:themeColor="background1"/>
        </w:rPr>
        <w:t xml:space="preserve"> can choose to advance more ambitious building codes.</w:t>
      </w:r>
    </w:p>
    <w:p w14:paraId="27FB142E" w14:textId="77777777" w:rsidR="00B65A50" w:rsidRPr="00F041AD" w:rsidRDefault="00B65A50" w:rsidP="00164A5A">
      <w:pPr>
        <w:pStyle w:val="5BodyText"/>
        <w:numPr>
          <w:ilvl w:val="0"/>
          <w:numId w:val="87"/>
        </w:numPr>
        <w:rPr>
          <w:color w:val="333333" w:themeColor="background1"/>
        </w:rPr>
      </w:pPr>
      <w:r w:rsidRPr="00F041AD">
        <w:rPr>
          <w:color w:val="333333" w:themeColor="background1"/>
        </w:rPr>
        <w:t xml:space="preserve">Approaching zero energy buildings will require an increased use of on-site renewable energy resources, </w:t>
      </w:r>
      <w:r w:rsidRPr="00F041AD">
        <w:rPr>
          <w:b/>
          <w:color w:val="333333" w:themeColor="background1"/>
        </w:rPr>
        <w:t>enhanced building controls, demand response</w:t>
      </w:r>
      <w:r w:rsidRPr="00F041AD">
        <w:rPr>
          <w:color w:val="333333" w:themeColor="background1"/>
        </w:rPr>
        <w:t>, and load management.</w:t>
      </w:r>
      <w:r w:rsidRPr="00F041AD">
        <w:rPr>
          <w:b/>
          <w:color w:val="333333" w:themeColor="background1"/>
        </w:rPr>
        <w:t xml:space="preserve"> </w:t>
      </w:r>
    </w:p>
    <w:p w14:paraId="6641E733" w14:textId="77777777" w:rsidR="00B65A50" w:rsidRPr="00F041AD" w:rsidRDefault="00B65A50" w:rsidP="00164A5A">
      <w:pPr>
        <w:pStyle w:val="5BodyText"/>
        <w:rPr>
          <w:color w:val="333333" w:themeColor="background1"/>
        </w:rPr>
      </w:pPr>
    </w:p>
    <w:p w14:paraId="094F7C1A" w14:textId="77777777" w:rsidR="00B65A50" w:rsidRPr="00F041AD" w:rsidRDefault="00B65A50" w:rsidP="00164A5A">
      <w:pPr>
        <w:pStyle w:val="5BodyText"/>
        <w:rPr>
          <w:i/>
          <w:color w:val="333333" w:themeColor="background1"/>
        </w:rPr>
      </w:pPr>
      <w:r w:rsidRPr="00F041AD">
        <w:rPr>
          <w:b/>
          <w:i/>
          <w:color w:val="333333" w:themeColor="background1"/>
        </w:rPr>
        <w:t>Ongoing Minnesota initiatives</w:t>
      </w:r>
    </w:p>
    <w:p w14:paraId="4958AC7D" w14:textId="77777777" w:rsidR="00B65A50" w:rsidRPr="00F041AD" w:rsidRDefault="00B65A50" w:rsidP="00164A5A">
      <w:pPr>
        <w:pStyle w:val="5BodyText"/>
        <w:numPr>
          <w:ilvl w:val="0"/>
          <w:numId w:val="88"/>
        </w:numPr>
        <w:rPr>
          <w:color w:val="333333" w:themeColor="background1"/>
        </w:rPr>
      </w:pPr>
      <w:r w:rsidRPr="00F041AD">
        <w:rPr>
          <w:color w:val="333333" w:themeColor="background1"/>
        </w:rPr>
        <w:t xml:space="preserve">The CSEO process, as noted above, proposes a </w:t>
      </w:r>
      <w:hyperlink r:id="rId114">
        <w:r w:rsidRPr="00F041AD">
          <w:rPr>
            <w:color w:val="333333" w:themeColor="background1"/>
            <w:u w:val="single"/>
          </w:rPr>
          <w:t>“Zero Energy Ready”</w:t>
        </w:r>
      </w:hyperlink>
      <w:r w:rsidRPr="00F041AD">
        <w:rPr>
          <w:color w:val="333333" w:themeColor="background1"/>
        </w:rPr>
        <w:t xml:space="preserve"> strategy, upon which this recommendation is based.</w:t>
      </w:r>
      <w:r w:rsidRPr="00F041AD">
        <w:rPr>
          <w:rStyle w:val="EndnoteReference"/>
          <w:color w:val="333333" w:themeColor="background1"/>
        </w:rPr>
        <w:endnoteReference w:id="177"/>
      </w:r>
    </w:p>
    <w:p w14:paraId="69DE1658" w14:textId="77777777" w:rsidR="00B65A50" w:rsidRPr="00F041AD" w:rsidRDefault="00B65A50" w:rsidP="00164A5A">
      <w:pPr>
        <w:pStyle w:val="5BodyText"/>
        <w:numPr>
          <w:ilvl w:val="0"/>
          <w:numId w:val="88"/>
        </w:numPr>
        <w:rPr>
          <w:color w:val="333333" w:themeColor="background1"/>
        </w:rPr>
      </w:pPr>
      <w:r w:rsidRPr="00F041AD">
        <w:rPr>
          <w:color w:val="333333" w:themeColor="background1"/>
        </w:rPr>
        <w:t xml:space="preserve">In the </w:t>
      </w:r>
      <w:hyperlink r:id="rId115" w:history="1">
        <w:r w:rsidRPr="00F041AD">
          <w:rPr>
            <w:rStyle w:val="Hyperlink"/>
            <w:color w:val="333333" w:themeColor="background1"/>
          </w:rPr>
          <w:t>City of Saint Paul</w:t>
        </w:r>
      </w:hyperlink>
      <w:r w:rsidRPr="00F041AD">
        <w:rPr>
          <w:color w:val="333333" w:themeColor="background1"/>
        </w:rPr>
        <w:t>, entities that receive tax incentives or abatement are required to participate in the SB 2030 program.</w:t>
      </w:r>
      <w:r w:rsidRPr="00F041AD">
        <w:rPr>
          <w:rStyle w:val="EndnoteReference"/>
          <w:color w:val="333333" w:themeColor="background1"/>
        </w:rPr>
        <w:endnoteReference w:id="178"/>
      </w:r>
    </w:p>
    <w:p w14:paraId="080C0D22" w14:textId="77777777" w:rsidR="00B65A50" w:rsidRPr="00F041AD" w:rsidRDefault="00B65A50" w:rsidP="00164A5A">
      <w:pPr>
        <w:pStyle w:val="5BodyText"/>
        <w:numPr>
          <w:ilvl w:val="0"/>
          <w:numId w:val="88"/>
        </w:numPr>
        <w:rPr>
          <w:color w:val="333333" w:themeColor="background1"/>
        </w:rPr>
      </w:pPr>
      <w:r w:rsidRPr="00F041AD">
        <w:rPr>
          <w:color w:val="333333" w:themeColor="background1"/>
        </w:rPr>
        <w:t xml:space="preserve">Maplewood has adopted a </w:t>
      </w:r>
      <w:hyperlink r:id="rId116" w:history="1">
        <w:r w:rsidRPr="00F041AD">
          <w:rPr>
            <w:rStyle w:val="Hyperlink"/>
            <w:color w:val="333333" w:themeColor="background1"/>
          </w:rPr>
          <w:t>Green Construction code</w:t>
        </w:r>
      </w:hyperlink>
      <w:r w:rsidRPr="00F041AD">
        <w:rPr>
          <w:color w:val="333333" w:themeColor="background1"/>
        </w:rPr>
        <w:t xml:space="preserve"> for all new city-funded buildings.</w:t>
      </w:r>
      <w:r w:rsidRPr="00F041AD">
        <w:rPr>
          <w:rStyle w:val="EndnoteReference"/>
          <w:color w:val="333333" w:themeColor="background1"/>
        </w:rPr>
        <w:endnoteReference w:id="179"/>
      </w:r>
    </w:p>
    <w:p w14:paraId="516078B0" w14:textId="77777777" w:rsidR="00B65A50" w:rsidRPr="00F041AD" w:rsidRDefault="00B65A50" w:rsidP="00164A5A">
      <w:pPr>
        <w:pStyle w:val="5BodyText"/>
        <w:rPr>
          <w:color w:val="333333" w:themeColor="background1"/>
        </w:rPr>
      </w:pPr>
      <w:r w:rsidRPr="00F041AD">
        <w:rPr>
          <w:color w:val="333333" w:themeColor="background1"/>
        </w:rPr>
        <w:t xml:space="preserve"> </w:t>
      </w:r>
    </w:p>
    <w:p w14:paraId="7D02DFA3" w14:textId="77777777" w:rsidR="00B65A50" w:rsidRPr="00F041AD" w:rsidRDefault="00B65A50" w:rsidP="00164A5A">
      <w:pPr>
        <w:pStyle w:val="5BodyText"/>
        <w:rPr>
          <w:i/>
          <w:color w:val="333333" w:themeColor="background1"/>
        </w:rPr>
      </w:pPr>
      <w:r w:rsidRPr="00F041AD">
        <w:rPr>
          <w:b/>
          <w:i/>
          <w:color w:val="333333" w:themeColor="background1"/>
        </w:rPr>
        <w:t>Other related resources</w:t>
      </w:r>
    </w:p>
    <w:p w14:paraId="724A5909" w14:textId="77777777" w:rsidR="00B65A50" w:rsidRPr="00F041AD" w:rsidRDefault="00B65A50" w:rsidP="00164A5A">
      <w:pPr>
        <w:pStyle w:val="5BodyText"/>
        <w:numPr>
          <w:ilvl w:val="0"/>
          <w:numId w:val="89"/>
        </w:numPr>
        <w:rPr>
          <w:color w:val="333333" w:themeColor="background1"/>
        </w:rPr>
      </w:pPr>
      <w:r w:rsidRPr="00F041AD">
        <w:rPr>
          <w:color w:val="333333" w:themeColor="background1"/>
        </w:rPr>
        <w:t>Architecture 2030</w:t>
      </w:r>
    </w:p>
    <w:p w14:paraId="2946B2F8" w14:textId="77777777" w:rsidR="00B65A50" w:rsidRPr="00F041AD" w:rsidRDefault="00B65A50" w:rsidP="00164A5A">
      <w:pPr>
        <w:pStyle w:val="5BodyText"/>
        <w:numPr>
          <w:ilvl w:val="0"/>
          <w:numId w:val="89"/>
        </w:numPr>
        <w:rPr>
          <w:color w:val="333333" w:themeColor="background1"/>
        </w:rPr>
      </w:pPr>
      <w:r w:rsidRPr="00F041AD">
        <w:rPr>
          <w:color w:val="333333" w:themeColor="background1"/>
        </w:rPr>
        <w:lastRenderedPageBreak/>
        <w:t>Department of Energy’s Zero Energy Ready Home</w:t>
      </w:r>
    </w:p>
    <w:p w14:paraId="184CA1F2" w14:textId="77777777" w:rsidR="00B65A50" w:rsidRPr="00F041AD" w:rsidRDefault="006506BB" w:rsidP="00164A5A">
      <w:pPr>
        <w:pStyle w:val="5BodyText"/>
        <w:numPr>
          <w:ilvl w:val="0"/>
          <w:numId w:val="89"/>
        </w:numPr>
        <w:rPr>
          <w:color w:val="333333" w:themeColor="background1"/>
        </w:rPr>
      </w:pPr>
      <w:hyperlink r:id="rId117" w:history="1">
        <w:r w:rsidR="00B65A50" w:rsidRPr="00F041AD">
          <w:rPr>
            <w:rStyle w:val="Hyperlink"/>
            <w:color w:val="333333" w:themeColor="background1"/>
          </w:rPr>
          <w:t>Conservation Applied Research and Development (CARD), Clean Energy Resource Teams (CERTs), and Sustainable Buildings 2030 (SB2030), 2016 Report</w:t>
        </w:r>
      </w:hyperlink>
      <w:r w:rsidR="00B65A50" w:rsidRPr="00F041AD">
        <w:rPr>
          <w:color w:val="333333" w:themeColor="background1"/>
        </w:rPr>
        <w:t>, MN Department of Commerce  annual report to the legislature includes energy savings results from the SB2030 program.</w:t>
      </w:r>
    </w:p>
    <w:p w14:paraId="4EED9030" w14:textId="77777777" w:rsidR="00B65A50" w:rsidRPr="00F041AD" w:rsidRDefault="00B65A50" w:rsidP="00164A5A">
      <w:pPr>
        <w:pStyle w:val="5BodyText"/>
        <w:numPr>
          <w:ilvl w:val="0"/>
          <w:numId w:val="89"/>
        </w:numPr>
        <w:rPr>
          <w:color w:val="333333" w:themeColor="background1"/>
        </w:rPr>
      </w:pPr>
      <w:r w:rsidRPr="00F041AD">
        <w:rPr>
          <w:color w:val="333333" w:themeColor="background1"/>
        </w:rPr>
        <w:t xml:space="preserve">The </w:t>
      </w:r>
      <w:hyperlink r:id="rId118" w:history="1">
        <w:r w:rsidRPr="00F041AD">
          <w:rPr>
            <w:rStyle w:val="Hyperlink"/>
            <w:color w:val="333333" w:themeColor="background1"/>
          </w:rPr>
          <w:t>B3: Buildings, Benchmarking, and Beyond</w:t>
        </w:r>
      </w:hyperlink>
      <w:r w:rsidRPr="00F041AD">
        <w:rPr>
          <w:color w:val="333333" w:themeColor="background1"/>
        </w:rPr>
        <w:t xml:space="preserve"> website includes tools and resources to help meet the SB2030 standard. </w:t>
      </w:r>
    </w:p>
    <w:p w14:paraId="37DA38D4" w14:textId="0D8C26C1" w:rsidR="00B65A50" w:rsidRPr="00F041AD" w:rsidRDefault="00B65A50" w:rsidP="00164A5A">
      <w:pPr>
        <w:pStyle w:val="5BodyText"/>
        <w:rPr>
          <w:rFonts w:eastAsia="Calibri" w:cs="Calibri"/>
          <w:b/>
          <w:color w:val="333333" w:themeColor="background1"/>
        </w:rPr>
      </w:pPr>
      <w:bookmarkStart w:id="195" w:name="h.111kx3o" w:colFirst="0" w:colLast="0"/>
      <w:bookmarkStart w:id="196" w:name="_Toc317317600"/>
      <w:bookmarkStart w:id="197" w:name="_Toc318126175"/>
      <w:bookmarkStart w:id="198" w:name="_Toc319794280"/>
      <w:bookmarkEnd w:id="195"/>
    </w:p>
    <w:p w14:paraId="3CD51BDF" w14:textId="1E107337" w:rsidR="00B65A50" w:rsidRPr="00F041AD" w:rsidRDefault="00725676" w:rsidP="004C45CB">
      <w:pPr>
        <w:pStyle w:val="StrategyName"/>
      </w:pPr>
      <w:bookmarkStart w:id="199" w:name="_Toc322961643"/>
      <w:bookmarkStart w:id="200" w:name="_Toc322962044"/>
      <w:bookmarkStart w:id="201" w:name="_Toc322962231"/>
      <w:r>
        <w:t>C2</w:t>
      </w:r>
      <w:r w:rsidR="00B65A50" w:rsidRPr="00F041AD">
        <w:t>. Enhance energy data access</w:t>
      </w:r>
      <w:bookmarkEnd w:id="196"/>
      <w:bookmarkEnd w:id="197"/>
      <w:bookmarkEnd w:id="198"/>
      <w:bookmarkEnd w:id="199"/>
      <w:bookmarkEnd w:id="200"/>
      <w:bookmarkEnd w:id="201"/>
    </w:p>
    <w:p w14:paraId="569B1F50" w14:textId="77777777" w:rsidR="00B65A50" w:rsidRPr="00F041AD" w:rsidRDefault="00B65A50" w:rsidP="00164A5A">
      <w:pPr>
        <w:pStyle w:val="5BodyText"/>
        <w:rPr>
          <w:color w:val="333333" w:themeColor="background1"/>
        </w:rPr>
      </w:pPr>
    </w:p>
    <w:p w14:paraId="180D3015" w14:textId="77777777" w:rsidR="00B65A50" w:rsidRPr="00F041AD" w:rsidRDefault="00B65A50" w:rsidP="00164A5A">
      <w:pPr>
        <w:pStyle w:val="5BodyText"/>
        <w:rPr>
          <w:b/>
          <w:i/>
          <w:color w:val="333333" w:themeColor="background1"/>
        </w:rPr>
      </w:pPr>
      <w:r w:rsidRPr="00F041AD">
        <w:rPr>
          <w:b/>
          <w:i/>
          <w:noProof/>
          <w:color w:val="333333" w:themeColor="background1"/>
          <w:lang w:eastAsia="en-US"/>
        </w:rPr>
        <mc:AlternateContent>
          <mc:Choice Requires="wps">
            <w:drawing>
              <wp:anchor distT="0" distB="0" distL="114300" distR="114300" simplePos="0" relativeHeight="251698176" behindDoc="0" locked="0" layoutInCell="1" allowOverlap="1" wp14:anchorId="6C282AB3" wp14:editId="006C3F2A">
                <wp:simplePos x="0" y="0"/>
                <wp:positionH relativeFrom="column">
                  <wp:posOffset>3933825</wp:posOffset>
                </wp:positionH>
                <wp:positionV relativeFrom="paragraph">
                  <wp:posOffset>64770</wp:posOffset>
                </wp:positionV>
                <wp:extent cx="2400300" cy="5534025"/>
                <wp:effectExtent l="0" t="0" r="19050" b="28575"/>
                <wp:wrapSquare wrapText="bothSides"/>
                <wp:docPr id="16" name="Text Box 16"/>
                <wp:cNvGraphicFramePr/>
                <a:graphic xmlns:a="http://schemas.openxmlformats.org/drawingml/2006/main">
                  <a:graphicData uri="http://schemas.microsoft.com/office/word/2010/wordprocessingShape">
                    <wps:wsp>
                      <wps:cNvSpPr txBox="1"/>
                      <wps:spPr>
                        <a:xfrm>
                          <a:off x="0" y="0"/>
                          <a:ext cx="2400300" cy="5534025"/>
                        </a:xfrm>
                        <a:prstGeom prst="rect">
                          <a:avLst/>
                        </a:prstGeom>
                        <a:noFill/>
                        <a:ln>
                          <a:solidFill>
                            <a:srgbClr val="004B6B"/>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D8F08D" w14:textId="77777777" w:rsidR="006506BB" w:rsidRPr="000034E1" w:rsidRDefault="006506BB" w:rsidP="00164A5A">
                            <w:pPr>
                              <w:pStyle w:val="6BodyHighlight"/>
                              <w:rPr>
                                <w:color w:val="004B6B" w:themeColor="accent1"/>
                              </w:rPr>
                            </w:pPr>
                            <w:r w:rsidRPr="000034E1">
                              <w:rPr>
                                <w:color w:val="004B6B" w:themeColor="accent1"/>
                              </w:rPr>
                              <w:t xml:space="preserve">Green Button Data Standard </w:t>
                            </w:r>
                          </w:p>
                          <w:p w14:paraId="48912B83" w14:textId="77777777" w:rsidR="006506BB" w:rsidRPr="00F14827" w:rsidRDefault="006506BB" w:rsidP="00164A5A">
                            <w:pPr>
                              <w:pStyle w:val="5BodyText"/>
                              <w:rPr>
                                <w:szCs w:val="20"/>
                              </w:rPr>
                            </w:pPr>
                          </w:p>
                          <w:p w14:paraId="043F15B6" w14:textId="77777777" w:rsidR="006506BB" w:rsidRPr="00F14827" w:rsidRDefault="006506BB" w:rsidP="00164A5A">
                            <w:pPr>
                              <w:pStyle w:val="5BodyText"/>
                              <w:rPr>
                                <w:szCs w:val="20"/>
                              </w:rPr>
                            </w:pPr>
                            <w:hyperlink r:id="rId119" w:history="1">
                              <w:r w:rsidRPr="00F14827">
                                <w:rPr>
                                  <w:rStyle w:val="Hyperlink"/>
                                  <w:szCs w:val="20"/>
                                </w:rPr>
                                <w:t>Green Button</w:t>
                              </w:r>
                            </w:hyperlink>
                            <w:r w:rsidRPr="00F14827">
                              <w:rPr>
                                <w:szCs w:val="20"/>
                              </w:rPr>
                              <w:t xml:space="preserve"> is the product of multiple utilities responding to a challenge from the White House in 2011 to provide customers with better access to their energy data.</w:t>
                            </w:r>
                            <w:r w:rsidRPr="00F14827">
                              <w:rPr>
                                <w:rStyle w:val="FootnoteReference"/>
                                <w:szCs w:val="20"/>
                              </w:rPr>
                              <w:footnoteRef/>
                            </w:r>
                            <w:r w:rsidRPr="00F14827">
                              <w:rPr>
                                <w:szCs w:val="20"/>
                              </w:rPr>
                              <w:t xml:space="preserve">. </w:t>
                            </w:r>
                          </w:p>
                          <w:p w14:paraId="0330A7C9" w14:textId="77777777" w:rsidR="006506BB" w:rsidRPr="00F14827" w:rsidRDefault="006506BB" w:rsidP="00164A5A">
                            <w:pPr>
                              <w:pStyle w:val="5BodyText"/>
                              <w:rPr>
                                <w:szCs w:val="20"/>
                              </w:rPr>
                            </w:pPr>
                            <w:r w:rsidRPr="00F14827">
                              <w:rPr>
                                <w:szCs w:val="20"/>
                              </w:rPr>
                              <w:t>The more than 50 utilities nationwide that have adopted these standards implement a common XML data format in a way that is easy for customers to download.</w:t>
                            </w:r>
                          </w:p>
                          <w:p w14:paraId="7CA17420" w14:textId="77777777" w:rsidR="006506BB" w:rsidRPr="00F14827" w:rsidRDefault="006506BB" w:rsidP="00164A5A">
                            <w:pPr>
                              <w:pStyle w:val="5BodyText"/>
                              <w:rPr>
                                <w:szCs w:val="20"/>
                              </w:rPr>
                            </w:pPr>
                          </w:p>
                          <w:p w14:paraId="58F0F2FA" w14:textId="36A6AE2B" w:rsidR="006506BB" w:rsidRPr="00F14827" w:rsidRDefault="006506BB" w:rsidP="00164A5A">
                            <w:pPr>
                              <w:pStyle w:val="5BodyText"/>
                              <w:rPr>
                                <w:szCs w:val="20"/>
                              </w:rPr>
                            </w:pPr>
                            <w:r w:rsidRPr="00F14827">
                              <w:rPr>
                                <w:szCs w:val="20"/>
                              </w:rPr>
                              <w:t>Green Button has two levels of access: Download My Data allows an individual customer to download their own data from a web portal, while Connect My Data allows a customer to authorize a third party to download and analyze usage data on a customer’s behalf. Connect My Data can also be used to provide community-level energy data access and help local</w:t>
                            </w:r>
                            <w:r w:rsidR="004308E1">
                              <w:rPr>
                                <w:szCs w:val="20"/>
                              </w:rPr>
                              <w:t xml:space="preserve"> governments</w:t>
                            </w:r>
                            <w:r w:rsidRPr="00F14827">
                              <w:rPr>
                                <w:szCs w:val="20"/>
                              </w:rPr>
                              <w:t xml:space="preserve"> and tribal </w:t>
                            </w:r>
                            <w:r w:rsidR="004308E1">
                              <w:rPr>
                                <w:szCs w:val="20"/>
                              </w:rPr>
                              <w:t>nations</w:t>
                            </w:r>
                            <w:r w:rsidR="004308E1" w:rsidRPr="00F14827">
                              <w:rPr>
                                <w:szCs w:val="20"/>
                              </w:rPr>
                              <w:t xml:space="preserve"> </w:t>
                            </w:r>
                            <w:r w:rsidRPr="00F14827">
                              <w:rPr>
                                <w:szCs w:val="20"/>
                              </w:rPr>
                              <w:t xml:space="preserve">assess their energy use. </w:t>
                            </w:r>
                          </w:p>
                          <w:p w14:paraId="2EA63B43" w14:textId="77777777" w:rsidR="006506BB" w:rsidRDefault="006506BB" w:rsidP="00164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309.75pt;margin-top:5.1pt;width:189pt;height:43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" filled="f" strokecolor="#004b6b">
                <v:textbox>
                  <w:txbxContent>
                    <w:p w14:paraId="27D8F08D" w14:textId="77777777" w:rsidR="006506BB" w:rsidRPr="000034E1" w:rsidRDefault="006506BB" w:rsidP="00164A5A">
                      <w:pPr>
                        <w:pStyle w:val="6BodyHighlight"/>
                        <w:rPr>
                          <w:color w:val="004B6B" w:themeColor="accent1"/>
                        </w:rPr>
                      </w:pPr>
                      <w:r w:rsidRPr="000034E1">
                        <w:rPr>
                          <w:color w:val="004B6B" w:themeColor="accent1"/>
                        </w:rPr>
                        <w:t xml:space="preserve">Green Button Data Standard </w:t>
                      </w:r>
                    </w:p>
                    <w:p w14:paraId="48912B83" w14:textId="77777777" w:rsidR="006506BB" w:rsidRPr="00F14827" w:rsidRDefault="006506BB" w:rsidP="00164A5A">
                      <w:pPr>
                        <w:pStyle w:val="5BodyText"/>
                        <w:rPr>
                          <w:szCs w:val="20"/>
                        </w:rPr>
                      </w:pPr>
                    </w:p>
                    <w:p w14:paraId="043F15B6" w14:textId="77777777" w:rsidR="006506BB" w:rsidRPr="00F14827" w:rsidRDefault="006506BB" w:rsidP="00164A5A">
                      <w:pPr>
                        <w:pStyle w:val="5BodyText"/>
                        <w:rPr>
                          <w:szCs w:val="20"/>
                        </w:rPr>
                      </w:pPr>
                      <w:hyperlink r:id="rId120" w:history="1">
                        <w:r w:rsidRPr="00F14827">
                          <w:rPr>
                            <w:rStyle w:val="Hyperlink"/>
                            <w:szCs w:val="20"/>
                          </w:rPr>
                          <w:t>Green Button</w:t>
                        </w:r>
                      </w:hyperlink>
                      <w:r w:rsidRPr="00F14827">
                        <w:rPr>
                          <w:szCs w:val="20"/>
                        </w:rPr>
                        <w:t xml:space="preserve"> is the product of multiple utilities responding to a challenge from the White House in 2011 to provide customers with better access to their energy data.</w:t>
                      </w:r>
                      <w:r w:rsidRPr="00F14827">
                        <w:rPr>
                          <w:rStyle w:val="FootnoteReference"/>
                          <w:szCs w:val="20"/>
                        </w:rPr>
                        <w:footnoteRef/>
                      </w:r>
                      <w:r w:rsidRPr="00F14827">
                        <w:rPr>
                          <w:szCs w:val="20"/>
                        </w:rPr>
                        <w:t xml:space="preserve">. </w:t>
                      </w:r>
                    </w:p>
                    <w:p w14:paraId="0330A7C9" w14:textId="77777777" w:rsidR="006506BB" w:rsidRPr="00F14827" w:rsidRDefault="006506BB" w:rsidP="00164A5A">
                      <w:pPr>
                        <w:pStyle w:val="5BodyText"/>
                        <w:rPr>
                          <w:szCs w:val="20"/>
                        </w:rPr>
                      </w:pPr>
                      <w:r w:rsidRPr="00F14827">
                        <w:rPr>
                          <w:szCs w:val="20"/>
                        </w:rPr>
                        <w:t>The more than 50 utilities nationwide that have adopted these standards implement a common XML data format in a way that is easy for customers to download.</w:t>
                      </w:r>
                    </w:p>
                    <w:p w14:paraId="7CA17420" w14:textId="77777777" w:rsidR="006506BB" w:rsidRPr="00F14827" w:rsidRDefault="006506BB" w:rsidP="00164A5A">
                      <w:pPr>
                        <w:pStyle w:val="5BodyText"/>
                        <w:rPr>
                          <w:szCs w:val="20"/>
                        </w:rPr>
                      </w:pPr>
                    </w:p>
                    <w:p w14:paraId="58F0F2FA" w14:textId="36A6AE2B" w:rsidR="006506BB" w:rsidRPr="00F14827" w:rsidRDefault="006506BB" w:rsidP="00164A5A">
                      <w:pPr>
                        <w:pStyle w:val="5BodyText"/>
                        <w:rPr>
                          <w:szCs w:val="20"/>
                        </w:rPr>
                      </w:pPr>
                      <w:r w:rsidRPr="00F14827">
                        <w:rPr>
                          <w:szCs w:val="20"/>
                        </w:rPr>
                        <w:t>Green Button has two levels of access: Download My Data allows an individual customer to download their own data from a web portal, while Connect My Data allows a customer to authorize a third party to download and analyze usage data on a customer’s behalf. Connect My Data can also be used to provide community-level energy data access and help local</w:t>
                      </w:r>
                      <w:r w:rsidR="004308E1">
                        <w:rPr>
                          <w:szCs w:val="20"/>
                        </w:rPr>
                        <w:t xml:space="preserve"> governments</w:t>
                      </w:r>
                      <w:r w:rsidRPr="00F14827">
                        <w:rPr>
                          <w:szCs w:val="20"/>
                        </w:rPr>
                        <w:t xml:space="preserve"> and tribal </w:t>
                      </w:r>
                      <w:r w:rsidR="004308E1">
                        <w:rPr>
                          <w:szCs w:val="20"/>
                        </w:rPr>
                        <w:t>nations</w:t>
                      </w:r>
                      <w:r w:rsidR="004308E1" w:rsidRPr="00F14827">
                        <w:rPr>
                          <w:szCs w:val="20"/>
                        </w:rPr>
                        <w:t xml:space="preserve"> </w:t>
                      </w:r>
                      <w:r w:rsidRPr="00F14827">
                        <w:rPr>
                          <w:szCs w:val="20"/>
                        </w:rPr>
                        <w:t xml:space="preserve">assess their energy use. </w:t>
                      </w:r>
                    </w:p>
                    <w:p w14:paraId="2EA63B43" w14:textId="77777777" w:rsidR="006506BB" w:rsidRDefault="006506BB" w:rsidP="00164A5A"/>
                  </w:txbxContent>
                </v:textbox>
                <w10:wrap type="square"/>
              </v:shape>
            </w:pict>
          </mc:Fallback>
        </mc:AlternateContent>
      </w:r>
      <w:r w:rsidRPr="00F041AD">
        <w:rPr>
          <w:b/>
          <w:i/>
          <w:color w:val="333333" w:themeColor="background1"/>
        </w:rPr>
        <w:t>Strategy overview</w:t>
      </w:r>
    </w:p>
    <w:p w14:paraId="4CFA5E4F" w14:textId="77777777" w:rsidR="00B65A50" w:rsidRPr="00F041AD" w:rsidRDefault="00B65A50" w:rsidP="00164A5A">
      <w:pPr>
        <w:pStyle w:val="5BodyText"/>
        <w:rPr>
          <w:color w:val="333333" w:themeColor="background1"/>
        </w:rPr>
      </w:pPr>
      <w:r w:rsidRPr="00F041AD">
        <w:rPr>
          <w:color w:val="333333" w:themeColor="background1"/>
        </w:rPr>
        <w:t xml:space="preserve">Timely access to energy data is essential for identifying potential energy and cost savings. Traditionally, customers have had limited access to their energy usage data through their monthly utility bills. For customers with multiple sites served by different utilities, tracking energy usage data becomes a challenge when data is provided in different formats. Fortunately, energy data is becoming increasingly reliable and easily accessible, allowing customers and third party providers to unlock significant savings.  </w:t>
      </w:r>
      <w:r w:rsidRPr="00F041AD">
        <w:rPr>
          <w:color w:val="333333" w:themeColor="background1"/>
        </w:rPr>
        <w:br/>
      </w:r>
    </w:p>
    <w:p w14:paraId="3C00DDE2" w14:textId="77777777" w:rsidR="00B65A50" w:rsidRPr="00F041AD" w:rsidRDefault="00B65A50" w:rsidP="00164A5A">
      <w:pPr>
        <w:pStyle w:val="5BodyText"/>
        <w:rPr>
          <w:color w:val="333333" w:themeColor="background1"/>
        </w:rPr>
      </w:pPr>
      <w:r w:rsidRPr="00F041AD">
        <w:rPr>
          <w:color w:val="333333" w:themeColor="background1"/>
        </w:rPr>
        <w:t>There are a number of emerging energy data access standards, and Green Button is one such standard gaining traction. Today with Green Button data standards, 60 million households and businesses can access their energy usage data from their utilities</w:t>
      </w:r>
      <w:r w:rsidRPr="00F041AD">
        <w:rPr>
          <w:rStyle w:val="EndnoteReference"/>
          <w:rFonts w:asciiTheme="minorHAnsi" w:hAnsiTheme="minorHAnsi"/>
          <w:color w:val="333333" w:themeColor="background1"/>
        </w:rPr>
        <w:t xml:space="preserve"> </w:t>
      </w:r>
      <w:r w:rsidRPr="00F041AD">
        <w:rPr>
          <w:color w:val="333333" w:themeColor="background1"/>
        </w:rPr>
        <w:t>.</w:t>
      </w:r>
      <w:r w:rsidRPr="00F041AD">
        <w:rPr>
          <w:rStyle w:val="EndnoteReference"/>
          <w:rFonts w:asciiTheme="minorHAnsi" w:hAnsiTheme="minorHAnsi"/>
          <w:color w:val="333333" w:themeColor="background1"/>
        </w:rPr>
        <w:endnoteReference w:id="180"/>
      </w:r>
      <w:r w:rsidRPr="00F041AD">
        <w:rPr>
          <w:color w:val="333333" w:themeColor="background1"/>
        </w:rPr>
        <w:t xml:space="preserve"> </w:t>
      </w:r>
      <w:r w:rsidRPr="00F041AD">
        <w:rPr>
          <w:rStyle w:val="EndnoteReference"/>
          <w:rFonts w:asciiTheme="minorHAnsi" w:hAnsiTheme="minorHAnsi"/>
          <w:color w:val="333333" w:themeColor="background1"/>
        </w:rPr>
        <w:endnoteReference w:id="181"/>
      </w:r>
      <w:r w:rsidRPr="00F041AD">
        <w:rPr>
          <w:color w:val="333333" w:themeColor="background1"/>
        </w:rPr>
        <w:t xml:space="preserve"> Companies and utilities across the country, including Xcel Energy, offer Green Button to customers. This strategy explores the potential for this new standard to be applied more broadly in Minnesota.</w:t>
      </w:r>
    </w:p>
    <w:p w14:paraId="084CF122" w14:textId="77777777" w:rsidR="00B65A50" w:rsidRPr="00F041AD" w:rsidRDefault="00B65A50" w:rsidP="00164A5A">
      <w:pPr>
        <w:pStyle w:val="5BodyText"/>
        <w:rPr>
          <w:color w:val="333333" w:themeColor="background1"/>
        </w:rPr>
      </w:pPr>
    </w:p>
    <w:p w14:paraId="0ACB6A84" w14:textId="77777777" w:rsidR="00B65A50" w:rsidRPr="00F041AD" w:rsidRDefault="00B65A50" w:rsidP="00164A5A">
      <w:pPr>
        <w:pStyle w:val="5BodyText"/>
        <w:rPr>
          <w:b/>
          <w:i/>
          <w:color w:val="333333" w:themeColor="background1"/>
        </w:rPr>
      </w:pPr>
      <w:r w:rsidRPr="00F041AD">
        <w:rPr>
          <w:b/>
          <w:i/>
          <w:color w:val="333333" w:themeColor="background1"/>
        </w:rPr>
        <w:t>Specific actions for strategy implementation</w:t>
      </w:r>
    </w:p>
    <w:p w14:paraId="38C1F02B" w14:textId="77777777" w:rsidR="00B65A50" w:rsidRPr="00F041AD" w:rsidRDefault="00B65A50" w:rsidP="00164A5A">
      <w:pPr>
        <w:pStyle w:val="5BodyText"/>
        <w:numPr>
          <w:ilvl w:val="0"/>
          <w:numId w:val="90"/>
        </w:numPr>
        <w:rPr>
          <w:b/>
          <w:i/>
          <w:color w:val="333333" w:themeColor="background1"/>
        </w:rPr>
      </w:pPr>
      <w:r w:rsidRPr="00F041AD">
        <w:rPr>
          <w:b/>
          <w:color w:val="333333" w:themeColor="background1"/>
        </w:rPr>
        <w:t>Evaluate the potential for standardized personal data access, automated data transfer, and standardized community data access.</w:t>
      </w:r>
      <w:r w:rsidRPr="00F041AD">
        <w:rPr>
          <w:b/>
          <w:i/>
          <w:color w:val="333333" w:themeColor="background1"/>
        </w:rPr>
        <w:t xml:space="preserve">  </w:t>
      </w:r>
      <w:r w:rsidRPr="00F041AD">
        <w:rPr>
          <w:color w:val="333333" w:themeColor="background1"/>
        </w:rPr>
        <w:t xml:space="preserve">A broad group of interested parties can work together to facilitate peer-to-peer learning from implementation of standardized platforms for personal energy data access, automated data transfer, and community energy data access programs. </w:t>
      </w:r>
    </w:p>
    <w:p w14:paraId="03276D87" w14:textId="77777777" w:rsidR="00B65A50" w:rsidRPr="00F041AD" w:rsidRDefault="00B65A50" w:rsidP="00164A5A">
      <w:pPr>
        <w:pStyle w:val="5BodyText"/>
        <w:rPr>
          <w:b/>
          <w:i/>
          <w:color w:val="333333" w:themeColor="background1"/>
        </w:rPr>
      </w:pPr>
    </w:p>
    <w:p w14:paraId="1AA18799" w14:textId="77777777" w:rsidR="00B65A50" w:rsidRPr="00F041AD" w:rsidRDefault="00B65A50" w:rsidP="00164A5A">
      <w:pPr>
        <w:pStyle w:val="5BodyText"/>
        <w:ind w:left="360" w:firstLine="360"/>
        <w:rPr>
          <w:b/>
          <w:color w:val="333333" w:themeColor="background1"/>
        </w:rPr>
      </w:pPr>
      <w:r w:rsidRPr="00F041AD">
        <w:rPr>
          <w:b/>
          <w:color w:val="333333" w:themeColor="background1"/>
        </w:rPr>
        <w:lastRenderedPageBreak/>
        <w:t xml:space="preserve">Champions/Key Participants: </w:t>
      </w:r>
    </w:p>
    <w:p w14:paraId="41DBAADD" w14:textId="77777777" w:rsidR="00B65A50" w:rsidRPr="00F041AD" w:rsidRDefault="00B65A50" w:rsidP="00164A5A">
      <w:pPr>
        <w:pStyle w:val="5BodyText"/>
        <w:ind w:left="360" w:firstLine="360"/>
        <w:rPr>
          <w:color w:val="333333" w:themeColor="background1"/>
        </w:rPr>
      </w:pPr>
      <w:r w:rsidRPr="00F041AD">
        <w:rPr>
          <w:b/>
          <w:color w:val="333333" w:themeColor="background1"/>
        </w:rPr>
        <w:t xml:space="preserve">- </w:t>
      </w:r>
      <w:r w:rsidRPr="00F041AD">
        <w:rPr>
          <w:color w:val="333333" w:themeColor="background1"/>
          <w:u w:val="single"/>
        </w:rPr>
        <w:t>Minnesota Department of Commerce</w:t>
      </w:r>
      <w:r w:rsidRPr="00F041AD">
        <w:rPr>
          <w:color w:val="333333" w:themeColor="background1"/>
        </w:rPr>
        <w:t xml:space="preserve"> reviews potential for inclusion as a CIP measure </w:t>
      </w:r>
    </w:p>
    <w:p w14:paraId="2336A632"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u w:val="single"/>
        </w:rPr>
        <w:t>Xcel Energy</w:t>
      </w:r>
      <w:r w:rsidRPr="00F041AD">
        <w:rPr>
          <w:color w:val="333333" w:themeColor="background1"/>
        </w:rPr>
        <w:t xml:space="preserve"> has implemented green button, automated data transfer into Energy Star Portfolio Manager, and standardized community energy data access.</w:t>
      </w:r>
    </w:p>
    <w:p w14:paraId="029291B4" w14:textId="77777777" w:rsidR="00B65A50" w:rsidRPr="00F041AD" w:rsidRDefault="00B65A50" w:rsidP="00164A5A">
      <w:pPr>
        <w:pStyle w:val="5BodyText"/>
        <w:ind w:left="360" w:firstLine="360"/>
        <w:rPr>
          <w:color w:val="333333" w:themeColor="background1"/>
          <w:u w:val="single"/>
        </w:rPr>
      </w:pPr>
      <w:r w:rsidRPr="00F041AD">
        <w:rPr>
          <w:b/>
          <w:color w:val="333333" w:themeColor="background1"/>
        </w:rPr>
        <w:t xml:space="preserve">- </w:t>
      </w:r>
      <w:r w:rsidRPr="00F041AD">
        <w:rPr>
          <w:color w:val="333333" w:themeColor="background1"/>
          <w:u w:val="single"/>
        </w:rPr>
        <w:t xml:space="preserve">CenterPoint </w:t>
      </w:r>
    </w:p>
    <w:p w14:paraId="4BEC4915" w14:textId="77777777" w:rsidR="00B65A50" w:rsidRPr="00F041AD" w:rsidRDefault="00B65A50" w:rsidP="00164A5A">
      <w:pPr>
        <w:pStyle w:val="5BodyText"/>
        <w:ind w:left="360" w:firstLine="360"/>
        <w:rPr>
          <w:color w:val="333333" w:themeColor="background1"/>
          <w:u w:val="single"/>
        </w:rPr>
      </w:pPr>
      <w:r w:rsidRPr="00F041AD">
        <w:rPr>
          <w:b/>
          <w:color w:val="333333" w:themeColor="background1"/>
        </w:rPr>
        <w:t xml:space="preserve">- </w:t>
      </w:r>
      <w:r w:rsidRPr="00F041AD">
        <w:rPr>
          <w:color w:val="333333" w:themeColor="background1"/>
          <w:u w:val="single"/>
        </w:rPr>
        <w:t>Minnesota Valley Electric Cooperative</w:t>
      </w:r>
    </w:p>
    <w:p w14:paraId="42BC884B" w14:textId="77777777" w:rsidR="00B65A50" w:rsidRPr="00F041AD" w:rsidRDefault="00B65A50" w:rsidP="00164A5A">
      <w:pPr>
        <w:pStyle w:val="5BodyText"/>
        <w:ind w:left="720"/>
        <w:rPr>
          <w:color w:val="333333" w:themeColor="background1"/>
          <w:u w:val="single"/>
        </w:rPr>
      </w:pPr>
      <w:r w:rsidRPr="00F041AD">
        <w:rPr>
          <w:b/>
          <w:color w:val="333333" w:themeColor="background1"/>
        </w:rPr>
        <w:t xml:space="preserve">- </w:t>
      </w:r>
      <w:r w:rsidRPr="00F041AD">
        <w:rPr>
          <w:color w:val="333333" w:themeColor="background1"/>
          <w:u w:val="single"/>
        </w:rPr>
        <w:t xml:space="preserve">Minnesota Power </w:t>
      </w:r>
      <w:r w:rsidRPr="00F041AD">
        <w:rPr>
          <w:color w:val="333333" w:themeColor="background1"/>
        </w:rPr>
        <w:t>included a customer portal as part of its Consumer Behavior Study Plan and is in the process of evaluating next steps for these types of features.</w:t>
      </w:r>
      <w:r w:rsidRPr="00F041AD">
        <w:rPr>
          <w:color w:val="333333" w:themeColor="background1"/>
          <w:u w:val="single"/>
        </w:rPr>
        <w:t xml:space="preserve">  </w:t>
      </w:r>
    </w:p>
    <w:p w14:paraId="55C571AC" w14:textId="77777777" w:rsidR="00B65A50" w:rsidRPr="00F041AD" w:rsidRDefault="00B65A50" w:rsidP="00164A5A">
      <w:pPr>
        <w:pStyle w:val="5BodyText"/>
        <w:ind w:left="360" w:firstLine="360"/>
        <w:rPr>
          <w:b/>
          <w:color w:val="333333" w:themeColor="background1"/>
          <w:u w:val="single"/>
        </w:rPr>
      </w:pPr>
      <w:r w:rsidRPr="00F041AD">
        <w:rPr>
          <w:b/>
          <w:color w:val="333333" w:themeColor="background1"/>
        </w:rPr>
        <w:t xml:space="preserve">- </w:t>
      </w:r>
      <w:r w:rsidRPr="00F041AD">
        <w:rPr>
          <w:color w:val="333333" w:themeColor="background1"/>
          <w:u w:val="single"/>
        </w:rPr>
        <w:t xml:space="preserve">The </w:t>
      </w:r>
      <w:proofErr w:type="spellStart"/>
      <w:r w:rsidRPr="00F041AD">
        <w:rPr>
          <w:color w:val="333333" w:themeColor="background1"/>
          <w:u w:val="single"/>
        </w:rPr>
        <w:t>Weidt</w:t>
      </w:r>
      <w:proofErr w:type="spellEnd"/>
      <w:r w:rsidRPr="00F041AD">
        <w:rPr>
          <w:color w:val="333333" w:themeColor="background1"/>
          <w:u w:val="single"/>
        </w:rPr>
        <w:t xml:space="preserve"> Group  </w:t>
      </w:r>
    </w:p>
    <w:p w14:paraId="12A6B7D1" w14:textId="77777777" w:rsidR="00B65A50" w:rsidRPr="00F041AD" w:rsidRDefault="00B65A50" w:rsidP="00164A5A">
      <w:pPr>
        <w:pStyle w:val="5BodyText"/>
        <w:ind w:left="360" w:firstLine="360"/>
        <w:rPr>
          <w:color w:val="333333" w:themeColor="background1"/>
          <w:u w:val="single"/>
        </w:rPr>
      </w:pPr>
      <w:r w:rsidRPr="00F041AD">
        <w:rPr>
          <w:b/>
          <w:color w:val="333333" w:themeColor="background1"/>
        </w:rPr>
        <w:t xml:space="preserve">- </w:t>
      </w:r>
      <w:r w:rsidRPr="00F041AD">
        <w:rPr>
          <w:color w:val="333333" w:themeColor="background1"/>
          <w:u w:val="single"/>
        </w:rPr>
        <w:t xml:space="preserve">CEE  </w:t>
      </w:r>
    </w:p>
    <w:p w14:paraId="20E688B9" w14:textId="77777777" w:rsidR="00B65A50" w:rsidRPr="00F041AD" w:rsidRDefault="00B65A50" w:rsidP="00164A5A">
      <w:pPr>
        <w:pStyle w:val="5BodyText"/>
        <w:ind w:left="360" w:firstLine="360"/>
        <w:rPr>
          <w:color w:val="333333" w:themeColor="background1"/>
          <w:u w:val="single"/>
        </w:rPr>
      </w:pPr>
      <w:r w:rsidRPr="00F041AD">
        <w:rPr>
          <w:b/>
          <w:color w:val="333333" w:themeColor="background1"/>
        </w:rPr>
        <w:t xml:space="preserve">- </w:t>
      </w:r>
      <w:r w:rsidRPr="00F041AD">
        <w:rPr>
          <w:color w:val="333333" w:themeColor="background1"/>
          <w:u w:val="single"/>
        </w:rPr>
        <w:t>US Green Building Council – MN Chapter</w:t>
      </w:r>
    </w:p>
    <w:p w14:paraId="4717D2BC" w14:textId="77777777" w:rsidR="00B65A50" w:rsidRPr="00F041AD" w:rsidRDefault="00B65A50" w:rsidP="00164A5A">
      <w:pPr>
        <w:pStyle w:val="5BodyText"/>
        <w:ind w:left="360" w:firstLine="360"/>
        <w:rPr>
          <w:color w:val="333333" w:themeColor="background1"/>
          <w:u w:val="single"/>
        </w:rPr>
      </w:pPr>
      <w:r w:rsidRPr="00F041AD">
        <w:rPr>
          <w:b/>
          <w:color w:val="333333" w:themeColor="background1"/>
        </w:rPr>
        <w:t xml:space="preserve">- </w:t>
      </w:r>
      <w:r w:rsidRPr="00F041AD">
        <w:rPr>
          <w:color w:val="333333" w:themeColor="background1"/>
          <w:u w:val="single"/>
        </w:rPr>
        <w:t xml:space="preserve">Fresh Energy </w:t>
      </w:r>
    </w:p>
    <w:p w14:paraId="77FC529B" w14:textId="77777777" w:rsidR="00B65A50" w:rsidRPr="00F041AD" w:rsidRDefault="00B65A50" w:rsidP="00164A5A">
      <w:pPr>
        <w:pStyle w:val="5BodyText"/>
        <w:ind w:left="360" w:firstLine="360"/>
        <w:rPr>
          <w:color w:val="333333" w:themeColor="background1"/>
          <w:u w:val="single"/>
        </w:rPr>
      </w:pPr>
      <w:r w:rsidRPr="00F041AD">
        <w:rPr>
          <w:b/>
          <w:color w:val="333333" w:themeColor="background1"/>
        </w:rPr>
        <w:t xml:space="preserve">- </w:t>
      </w:r>
      <w:r w:rsidRPr="00F041AD">
        <w:rPr>
          <w:color w:val="333333" w:themeColor="background1"/>
          <w:u w:val="single"/>
        </w:rPr>
        <w:t xml:space="preserve">Metropolitan Council  </w:t>
      </w:r>
    </w:p>
    <w:p w14:paraId="25F9FC1F" w14:textId="77777777" w:rsidR="00B65A50" w:rsidRPr="00F041AD" w:rsidRDefault="00B65A50" w:rsidP="00164A5A">
      <w:pPr>
        <w:pStyle w:val="5BodyText"/>
        <w:ind w:left="360" w:firstLine="360"/>
        <w:rPr>
          <w:color w:val="333333" w:themeColor="background1"/>
          <w:u w:val="single"/>
        </w:rPr>
      </w:pPr>
      <w:r w:rsidRPr="00F041AD">
        <w:rPr>
          <w:b/>
          <w:color w:val="333333" w:themeColor="background1"/>
        </w:rPr>
        <w:t xml:space="preserve">- </w:t>
      </w:r>
      <w:r w:rsidRPr="00F041AD">
        <w:rPr>
          <w:color w:val="333333" w:themeColor="background1"/>
          <w:u w:val="single"/>
        </w:rPr>
        <w:t xml:space="preserve">MN Public Utilities Commission </w:t>
      </w:r>
    </w:p>
    <w:p w14:paraId="0249F5D3" w14:textId="77777777" w:rsidR="00B65A50" w:rsidRPr="00F041AD" w:rsidRDefault="00B65A50" w:rsidP="00164A5A">
      <w:pPr>
        <w:pStyle w:val="5BodyText"/>
        <w:ind w:left="360" w:firstLine="360"/>
        <w:rPr>
          <w:color w:val="333333" w:themeColor="background1"/>
          <w:u w:val="single"/>
        </w:rPr>
      </w:pPr>
      <w:r w:rsidRPr="00F041AD">
        <w:rPr>
          <w:b/>
          <w:color w:val="333333" w:themeColor="background1"/>
        </w:rPr>
        <w:t xml:space="preserve">- </w:t>
      </w:r>
      <w:r w:rsidRPr="00F041AD">
        <w:rPr>
          <w:color w:val="333333" w:themeColor="background1"/>
          <w:u w:val="single"/>
        </w:rPr>
        <w:t>Electric and gas utilities</w:t>
      </w:r>
    </w:p>
    <w:p w14:paraId="6A685AD8" w14:textId="77777777" w:rsidR="00B65A50" w:rsidRPr="00F041AD" w:rsidRDefault="00B65A50" w:rsidP="00164A5A">
      <w:pPr>
        <w:pStyle w:val="5BodyText"/>
        <w:rPr>
          <w:color w:val="333333" w:themeColor="background1"/>
        </w:rPr>
      </w:pPr>
    </w:p>
    <w:p w14:paraId="4071FD58" w14:textId="77777777" w:rsidR="00B65A50" w:rsidRPr="00F041AD" w:rsidRDefault="00B65A50" w:rsidP="00164A5A">
      <w:pPr>
        <w:pStyle w:val="5BodyText"/>
        <w:rPr>
          <w:color w:val="333333" w:themeColor="background1"/>
        </w:rPr>
      </w:pPr>
    </w:p>
    <w:p w14:paraId="7010E086" w14:textId="77777777" w:rsidR="00B65A50" w:rsidRPr="00F041AD" w:rsidRDefault="00B65A50" w:rsidP="00164A5A">
      <w:pPr>
        <w:pStyle w:val="5BodyText"/>
        <w:numPr>
          <w:ilvl w:val="0"/>
          <w:numId w:val="90"/>
        </w:numPr>
        <w:rPr>
          <w:b/>
          <w:i/>
          <w:color w:val="333333" w:themeColor="background1"/>
        </w:rPr>
      </w:pPr>
      <w:r w:rsidRPr="00F041AD">
        <w:rPr>
          <w:b/>
          <w:color w:val="333333" w:themeColor="background1"/>
        </w:rPr>
        <w:t>Determine a process for widespread adoption of standardized energy data access</w:t>
      </w:r>
      <w:r w:rsidRPr="00F041AD">
        <w:rPr>
          <w:b/>
          <w:i/>
          <w:color w:val="333333" w:themeColor="background1"/>
        </w:rPr>
        <w:t xml:space="preserve"> </w:t>
      </w:r>
      <w:r w:rsidRPr="00F041AD">
        <w:rPr>
          <w:color w:val="333333" w:themeColor="background1"/>
        </w:rPr>
        <w:t xml:space="preserve">Following successful implementation of standardized platforms for energy data access and automated data transfer by early adopters, involved parties can use lessons learned and best practices (including both for value creation as well as implementation cost reduction) to design a broader rollout plan for other Minnesota utilities using a standardized data platform, and including consideration of individual as well as community-level energy data access. This plan will take into account different situations and needs of individual utilities. </w:t>
      </w:r>
    </w:p>
    <w:p w14:paraId="5282606D" w14:textId="77777777" w:rsidR="00B65A50" w:rsidRPr="00F041AD" w:rsidRDefault="00B65A50" w:rsidP="00164A5A">
      <w:pPr>
        <w:pStyle w:val="5BodyText"/>
        <w:rPr>
          <w:color w:val="333333" w:themeColor="background1"/>
        </w:rPr>
      </w:pPr>
    </w:p>
    <w:p w14:paraId="6EBA173A" w14:textId="77777777" w:rsidR="00B65A50" w:rsidRPr="00F041AD" w:rsidRDefault="00B65A50" w:rsidP="00164A5A">
      <w:pPr>
        <w:pStyle w:val="5BodyText"/>
        <w:ind w:left="720"/>
        <w:rPr>
          <w:b/>
          <w:color w:val="333333" w:themeColor="background1"/>
        </w:rPr>
      </w:pPr>
      <w:r w:rsidRPr="00F041AD">
        <w:rPr>
          <w:b/>
          <w:color w:val="333333" w:themeColor="background1"/>
        </w:rPr>
        <w:t xml:space="preserve">Champions/Key Participants: </w:t>
      </w:r>
    </w:p>
    <w:p w14:paraId="7419FFE8"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rPr>
        <w:t xml:space="preserve">Minnesota Department of Commerce </w:t>
      </w:r>
    </w:p>
    <w:p w14:paraId="247B6098"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proofErr w:type="spellStart"/>
      <w:r w:rsidRPr="00F041AD">
        <w:rPr>
          <w:color w:val="333333" w:themeColor="background1"/>
        </w:rPr>
        <w:t>Weidt</w:t>
      </w:r>
      <w:proofErr w:type="spellEnd"/>
      <w:r w:rsidRPr="00F041AD">
        <w:rPr>
          <w:color w:val="333333" w:themeColor="background1"/>
        </w:rPr>
        <w:t xml:space="preserve"> Group </w:t>
      </w:r>
    </w:p>
    <w:p w14:paraId="2C355DB1"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rPr>
        <w:t xml:space="preserve">GPI </w:t>
      </w:r>
    </w:p>
    <w:p w14:paraId="16582B2A"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rPr>
        <w:t>LHB</w:t>
      </w:r>
    </w:p>
    <w:p w14:paraId="4F7CB842"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rPr>
        <w:t xml:space="preserve">Electric and gas utilities </w:t>
      </w:r>
    </w:p>
    <w:p w14:paraId="7EB5992F"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rPr>
        <w:t xml:space="preserve">CEE </w:t>
      </w:r>
    </w:p>
    <w:p w14:paraId="17C29EC8"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rPr>
        <w:t xml:space="preserve">Fresh Energy </w:t>
      </w:r>
    </w:p>
    <w:p w14:paraId="20521821"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rPr>
        <w:t xml:space="preserve">Metropolitan Council </w:t>
      </w:r>
    </w:p>
    <w:p w14:paraId="087469AE" w14:textId="77777777" w:rsidR="00B65A50" w:rsidRPr="00F041AD" w:rsidRDefault="00B65A50" w:rsidP="00164A5A">
      <w:pPr>
        <w:pStyle w:val="5BodyText"/>
        <w:ind w:left="720"/>
        <w:rPr>
          <w:color w:val="333333" w:themeColor="background1"/>
        </w:rPr>
      </w:pPr>
      <w:r w:rsidRPr="00F041AD">
        <w:rPr>
          <w:b/>
          <w:color w:val="333333" w:themeColor="background1"/>
        </w:rPr>
        <w:t xml:space="preserve">- </w:t>
      </w:r>
      <w:r w:rsidRPr="00F041AD">
        <w:rPr>
          <w:color w:val="333333" w:themeColor="background1"/>
        </w:rPr>
        <w:t>MN Public Utilities Commission</w:t>
      </w:r>
    </w:p>
    <w:p w14:paraId="7506FAD2" w14:textId="77777777" w:rsidR="00B65A50" w:rsidRPr="00F041AD" w:rsidRDefault="00B65A50" w:rsidP="00164A5A">
      <w:pPr>
        <w:pStyle w:val="5BodyText"/>
        <w:rPr>
          <w:color w:val="333333" w:themeColor="background1"/>
        </w:rPr>
      </w:pPr>
    </w:p>
    <w:p w14:paraId="27D1367D" w14:textId="77777777" w:rsidR="00B65A50" w:rsidRPr="00F041AD" w:rsidRDefault="00B65A50" w:rsidP="00164A5A">
      <w:pPr>
        <w:pStyle w:val="5BodyText"/>
        <w:rPr>
          <w:b/>
          <w:i/>
          <w:color w:val="333333" w:themeColor="background1"/>
        </w:rPr>
      </w:pPr>
      <w:r w:rsidRPr="00F041AD">
        <w:rPr>
          <w:b/>
          <w:i/>
          <w:color w:val="333333" w:themeColor="background1"/>
        </w:rPr>
        <w:lastRenderedPageBreak/>
        <w:t>Success factors</w:t>
      </w:r>
    </w:p>
    <w:p w14:paraId="202417FA" w14:textId="77777777" w:rsidR="00B65A50" w:rsidRPr="00F041AD" w:rsidRDefault="00B65A50" w:rsidP="00164A5A">
      <w:pPr>
        <w:pStyle w:val="5BodyText"/>
        <w:numPr>
          <w:ilvl w:val="0"/>
          <w:numId w:val="91"/>
        </w:numPr>
        <w:rPr>
          <w:b/>
          <w:i/>
          <w:color w:val="333333" w:themeColor="background1"/>
        </w:rPr>
      </w:pPr>
      <w:r w:rsidRPr="00F041AD">
        <w:rPr>
          <w:b/>
          <w:color w:val="333333" w:themeColor="background1"/>
        </w:rPr>
        <w:t xml:space="preserve">Protection and standards for data privacy must be clear. </w:t>
      </w:r>
      <w:r w:rsidRPr="00F041AD">
        <w:rPr>
          <w:color w:val="333333" w:themeColor="background1"/>
        </w:rPr>
        <w:t xml:space="preserve">This strategy will rely on the open Public Utilities Commission Energy Data Access/Data Privacy proceeding (docket 12-1344) for a ruling on the level of aggregation and other measures needed to protect the privacy of energy usage data.  </w:t>
      </w:r>
    </w:p>
    <w:p w14:paraId="23B89F00" w14:textId="77777777" w:rsidR="00B65A50" w:rsidRPr="00F041AD" w:rsidRDefault="00B65A50" w:rsidP="00164A5A">
      <w:pPr>
        <w:pStyle w:val="5BodyText"/>
        <w:numPr>
          <w:ilvl w:val="0"/>
          <w:numId w:val="91"/>
        </w:numPr>
        <w:rPr>
          <w:b/>
          <w:i/>
          <w:color w:val="333333" w:themeColor="background1"/>
        </w:rPr>
      </w:pPr>
      <w:r w:rsidRPr="00F041AD">
        <w:rPr>
          <w:b/>
          <w:color w:val="333333" w:themeColor="background1"/>
        </w:rPr>
        <w:t>Utility billing system has functionality to work with data reporting standard.</w:t>
      </w:r>
      <w:r w:rsidRPr="00F041AD">
        <w:rPr>
          <w:b/>
          <w:i/>
          <w:color w:val="333333" w:themeColor="background1"/>
        </w:rPr>
        <w:t xml:space="preserve"> </w:t>
      </w:r>
      <w:r w:rsidRPr="00F041AD">
        <w:rPr>
          <w:color w:val="333333" w:themeColor="background1"/>
        </w:rPr>
        <w:t>There is some risk that implementation costs for utilities may be very high if existing billing systems are incompatible with the agreed-upon standard for data reporting. Utilities may assess whether the standard for data access is supported by utility back-end systems prior to large investment in particular solutions.</w:t>
      </w:r>
    </w:p>
    <w:p w14:paraId="7CB879EB" w14:textId="77777777" w:rsidR="00B65A50" w:rsidRPr="00F041AD" w:rsidRDefault="00B65A50" w:rsidP="00164A5A">
      <w:pPr>
        <w:pStyle w:val="5BodyText"/>
        <w:numPr>
          <w:ilvl w:val="0"/>
          <w:numId w:val="91"/>
        </w:numPr>
        <w:rPr>
          <w:b/>
          <w:i/>
          <w:color w:val="333333" w:themeColor="background1"/>
        </w:rPr>
      </w:pPr>
      <w:r w:rsidRPr="00F041AD">
        <w:rPr>
          <w:b/>
          <w:color w:val="333333" w:themeColor="background1"/>
        </w:rPr>
        <w:t>Outreach and education</w:t>
      </w:r>
      <w:r w:rsidRPr="00F041AD">
        <w:rPr>
          <w:color w:val="333333" w:themeColor="background1"/>
        </w:rPr>
        <w:t xml:space="preserve"> can help stakeholders understand options and resources for data access, and application of data access tools once they are available. </w:t>
      </w:r>
    </w:p>
    <w:p w14:paraId="4C2A320B" w14:textId="77777777" w:rsidR="00B65A50" w:rsidRPr="00F041AD" w:rsidRDefault="00B65A50" w:rsidP="00164A5A">
      <w:pPr>
        <w:pStyle w:val="5BodyText"/>
        <w:numPr>
          <w:ilvl w:val="0"/>
          <w:numId w:val="91"/>
        </w:numPr>
        <w:rPr>
          <w:b/>
          <w:i/>
          <w:color w:val="333333" w:themeColor="background1"/>
        </w:rPr>
      </w:pPr>
      <w:r w:rsidRPr="00F041AD">
        <w:rPr>
          <w:b/>
          <w:color w:val="333333" w:themeColor="background1"/>
        </w:rPr>
        <w:t xml:space="preserve">Automated data transfer is in place. </w:t>
      </w:r>
      <w:r w:rsidRPr="00F041AD">
        <w:rPr>
          <w:color w:val="333333" w:themeColor="background1"/>
        </w:rPr>
        <w:t>To unlock the full potential of energy data access to impact energy efficiency will require automated data transfer into benchmarking platforms such as Energy Star™ Portfolio Manager. Green Button Connect My Data is one option to enable automated data transfer, but utilities can also set up automated data transfer through other means.</w:t>
      </w:r>
    </w:p>
    <w:p w14:paraId="09CEABA3" w14:textId="77777777" w:rsidR="00B65A50" w:rsidRPr="00F041AD" w:rsidRDefault="00B65A50" w:rsidP="00164A5A">
      <w:pPr>
        <w:pStyle w:val="5BodyText"/>
        <w:rPr>
          <w:color w:val="333333" w:themeColor="background1"/>
        </w:rPr>
      </w:pPr>
    </w:p>
    <w:p w14:paraId="589B454F" w14:textId="77777777" w:rsidR="00B65A50" w:rsidRPr="00F041AD" w:rsidRDefault="00B65A50" w:rsidP="00164A5A">
      <w:pPr>
        <w:pStyle w:val="5BodyText"/>
        <w:rPr>
          <w:b/>
          <w:i/>
          <w:color w:val="333333" w:themeColor="background1"/>
        </w:rPr>
      </w:pPr>
      <w:r w:rsidRPr="00F041AD">
        <w:rPr>
          <w:b/>
          <w:i/>
          <w:color w:val="333333" w:themeColor="background1"/>
        </w:rPr>
        <w:t>Indicators of strategy success</w:t>
      </w:r>
    </w:p>
    <w:p w14:paraId="57BED146" w14:textId="77777777" w:rsidR="00B65A50" w:rsidRPr="00F041AD" w:rsidRDefault="00B65A50" w:rsidP="00164A5A">
      <w:pPr>
        <w:pStyle w:val="5BodyText"/>
        <w:numPr>
          <w:ilvl w:val="0"/>
          <w:numId w:val="92"/>
        </w:numPr>
        <w:rPr>
          <w:color w:val="333333" w:themeColor="background1"/>
        </w:rPr>
      </w:pPr>
      <w:r w:rsidRPr="00F041AD">
        <w:rPr>
          <w:color w:val="333333" w:themeColor="background1"/>
        </w:rPr>
        <w:t>Number of MN utilities offering automated data transfer into Energy Star Portfolio Manager and/or B3.</w:t>
      </w:r>
    </w:p>
    <w:p w14:paraId="4E6F41A5" w14:textId="77777777" w:rsidR="00B65A50" w:rsidRPr="00F041AD" w:rsidRDefault="00B65A50" w:rsidP="00164A5A">
      <w:pPr>
        <w:pStyle w:val="5BodyText"/>
        <w:numPr>
          <w:ilvl w:val="0"/>
          <w:numId w:val="92"/>
        </w:numPr>
        <w:rPr>
          <w:color w:val="333333" w:themeColor="background1"/>
        </w:rPr>
      </w:pPr>
      <w:r w:rsidRPr="00F041AD">
        <w:rPr>
          <w:color w:val="333333" w:themeColor="background1"/>
        </w:rPr>
        <w:t xml:space="preserve">Number of MN utilities offering Green Button Download My Data. Currently, Xcel Energy is the only utility that supports this standard. It possible to track this indicator through the </w:t>
      </w:r>
      <w:hyperlink r:id="rId121" w:history="1">
        <w:r w:rsidRPr="00F041AD">
          <w:rPr>
            <w:rStyle w:val="Hyperlink"/>
            <w:color w:val="333333" w:themeColor="background1"/>
          </w:rPr>
          <w:t>Green Button Alliance’s website</w:t>
        </w:r>
      </w:hyperlink>
      <w:r w:rsidRPr="00F041AD">
        <w:rPr>
          <w:color w:val="333333" w:themeColor="background1"/>
        </w:rPr>
        <w:t>.</w:t>
      </w:r>
      <w:r w:rsidRPr="00F041AD">
        <w:rPr>
          <w:rStyle w:val="EndnoteReference"/>
          <w:color w:val="333333" w:themeColor="background1"/>
        </w:rPr>
        <w:endnoteReference w:id="182"/>
      </w:r>
      <w:r w:rsidRPr="00F041AD">
        <w:rPr>
          <w:color w:val="333333" w:themeColor="background1"/>
        </w:rPr>
        <w:t xml:space="preserve"> </w:t>
      </w:r>
    </w:p>
    <w:p w14:paraId="1D364144" w14:textId="77777777" w:rsidR="00B65A50" w:rsidRPr="00F041AD" w:rsidRDefault="00B65A50" w:rsidP="00164A5A">
      <w:pPr>
        <w:pStyle w:val="5BodyText"/>
        <w:numPr>
          <w:ilvl w:val="0"/>
          <w:numId w:val="92"/>
        </w:numPr>
        <w:rPr>
          <w:color w:val="333333" w:themeColor="background1"/>
        </w:rPr>
      </w:pPr>
      <w:r w:rsidRPr="00F041AD">
        <w:rPr>
          <w:color w:val="333333" w:themeColor="background1"/>
        </w:rPr>
        <w:t xml:space="preserve">Number of MN utilities offering Green Button Connect My Data. Similarly, it possible to track this metric through the Green Button Alliance’s website: </w:t>
      </w:r>
      <w:hyperlink r:id="rId122" w:history="1">
        <w:r w:rsidRPr="00F041AD">
          <w:rPr>
            <w:rStyle w:val="Hyperlink"/>
            <w:color w:val="333333" w:themeColor="background1"/>
          </w:rPr>
          <w:t>http://www.greenbuttondata.org/</w:t>
        </w:r>
      </w:hyperlink>
      <w:r w:rsidRPr="00F041AD">
        <w:rPr>
          <w:rStyle w:val="Hyperlink"/>
          <w:color w:val="333333" w:themeColor="background1"/>
        </w:rPr>
        <w:t>.</w:t>
      </w:r>
    </w:p>
    <w:p w14:paraId="45729DE0" w14:textId="77777777" w:rsidR="00B65A50" w:rsidRPr="00F041AD" w:rsidRDefault="00B65A50" w:rsidP="00164A5A">
      <w:pPr>
        <w:pStyle w:val="5BodyText"/>
        <w:numPr>
          <w:ilvl w:val="0"/>
          <w:numId w:val="92"/>
        </w:numPr>
        <w:rPr>
          <w:color w:val="333333" w:themeColor="background1"/>
        </w:rPr>
      </w:pPr>
      <w:r w:rsidRPr="00F041AD">
        <w:rPr>
          <w:color w:val="333333" w:themeColor="background1"/>
        </w:rPr>
        <w:t>Number of MN Utilities offering community-level energy data</w:t>
      </w:r>
    </w:p>
    <w:p w14:paraId="591F81DA" w14:textId="77777777" w:rsidR="00B65A50" w:rsidRPr="00F041AD" w:rsidRDefault="00B65A50" w:rsidP="00164A5A">
      <w:pPr>
        <w:pStyle w:val="5BodyText"/>
        <w:rPr>
          <w:color w:val="333333" w:themeColor="background1"/>
        </w:rPr>
      </w:pPr>
    </w:p>
    <w:p w14:paraId="28C55C1E" w14:textId="77777777" w:rsidR="00B65A50" w:rsidRPr="00F041AD" w:rsidRDefault="00B65A50" w:rsidP="00164A5A">
      <w:pPr>
        <w:pStyle w:val="5BodyText"/>
        <w:rPr>
          <w:b/>
          <w:i/>
          <w:color w:val="333333" w:themeColor="background1"/>
        </w:rPr>
      </w:pPr>
      <w:r w:rsidRPr="00F041AD">
        <w:rPr>
          <w:b/>
          <w:i/>
          <w:color w:val="333333" w:themeColor="background1"/>
        </w:rPr>
        <w:t>Cross-sector opportunities and synergies</w:t>
      </w:r>
    </w:p>
    <w:p w14:paraId="366BAF29" w14:textId="77777777" w:rsidR="00B65A50" w:rsidRPr="00F041AD" w:rsidRDefault="00B65A50" w:rsidP="00164A5A">
      <w:pPr>
        <w:pStyle w:val="5BodyText"/>
        <w:numPr>
          <w:ilvl w:val="0"/>
          <w:numId w:val="93"/>
        </w:numPr>
        <w:rPr>
          <w:color w:val="333333" w:themeColor="background1"/>
        </w:rPr>
      </w:pPr>
      <w:r w:rsidRPr="00F041AD">
        <w:rPr>
          <w:b/>
          <w:color w:val="333333" w:themeColor="background1"/>
        </w:rPr>
        <w:t>Advanced metering infrastructure (AMI)</w:t>
      </w:r>
      <w:r w:rsidRPr="00F041AD">
        <w:rPr>
          <w:color w:val="333333" w:themeColor="background1"/>
        </w:rPr>
        <w:t xml:space="preserve"> is necessary to collect interval electricity consumption data, and thus critical to be able to process and make it available to customers. Advanced metering can be used not only to monitor energy consumption, but also to help businesses (particularly industrial stakeholders) increase process efficiency beyond energy savings and demand reduction.</w:t>
      </w:r>
      <w:r w:rsidRPr="00F041AD">
        <w:rPr>
          <w:color w:val="333333" w:themeColor="background1"/>
        </w:rPr>
        <w:br/>
      </w:r>
    </w:p>
    <w:p w14:paraId="5C2B7D94" w14:textId="77777777" w:rsidR="00B65A50" w:rsidRPr="00F041AD" w:rsidRDefault="00B65A50" w:rsidP="00164A5A">
      <w:pPr>
        <w:pStyle w:val="5BodyText"/>
        <w:numPr>
          <w:ilvl w:val="0"/>
          <w:numId w:val="93"/>
        </w:numPr>
        <w:rPr>
          <w:color w:val="333333" w:themeColor="background1"/>
        </w:rPr>
      </w:pPr>
      <w:r w:rsidRPr="00F041AD">
        <w:rPr>
          <w:color w:val="333333" w:themeColor="background1"/>
        </w:rPr>
        <w:t xml:space="preserve">Easy access to energy use data facilitates </w:t>
      </w:r>
      <w:r w:rsidRPr="00F041AD">
        <w:rPr>
          <w:b/>
          <w:color w:val="333333" w:themeColor="background1"/>
        </w:rPr>
        <w:t xml:space="preserve">benchmarking </w:t>
      </w:r>
      <w:r w:rsidRPr="00F041AD">
        <w:rPr>
          <w:color w:val="333333" w:themeColor="background1"/>
        </w:rPr>
        <w:t>of building energy use</w:t>
      </w:r>
      <w:r w:rsidRPr="00F041AD">
        <w:rPr>
          <w:b/>
          <w:color w:val="333333" w:themeColor="background1"/>
        </w:rPr>
        <w:t>.</w:t>
      </w:r>
      <w:r w:rsidRPr="00F041AD">
        <w:rPr>
          <w:color w:val="333333" w:themeColor="background1"/>
        </w:rPr>
        <w:t xml:space="preserve"> </w:t>
      </w:r>
      <w:r w:rsidRPr="00F041AD">
        <w:rPr>
          <w:color w:val="333333" w:themeColor="background1"/>
        </w:rPr>
        <w:br/>
      </w:r>
    </w:p>
    <w:p w14:paraId="0B7D6DC3" w14:textId="77777777" w:rsidR="00B65A50" w:rsidRPr="00F041AD" w:rsidRDefault="00B65A50" w:rsidP="00164A5A">
      <w:pPr>
        <w:pStyle w:val="5BodyText"/>
        <w:numPr>
          <w:ilvl w:val="0"/>
          <w:numId w:val="93"/>
        </w:numPr>
        <w:rPr>
          <w:color w:val="333333" w:themeColor="background1"/>
        </w:rPr>
      </w:pPr>
      <w:r w:rsidRPr="00F041AD">
        <w:rPr>
          <w:color w:val="333333" w:themeColor="background1"/>
        </w:rPr>
        <w:t xml:space="preserve">Energy data access allows for tracking effectiveness of </w:t>
      </w:r>
      <w:r w:rsidRPr="00F041AD">
        <w:rPr>
          <w:b/>
          <w:color w:val="333333" w:themeColor="background1"/>
        </w:rPr>
        <w:t>behavioral strategies</w:t>
      </w:r>
      <w:r w:rsidRPr="00F041AD">
        <w:rPr>
          <w:color w:val="333333" w:themeColor="background1"/>
        </w:rPr>
        <w:t xml:space="preserve"> as well as other community-level, </w:t>
      </w:r>
      <w:r w:rsidRPr="00F041AD">
        <w:rPr>
          <w:b/>
          <w:color w:val="333333" w:themeColor="background1"/>
        </w:rPr>
        <w:t>local actions</w:t>
      </w:r>
      <w:r w:rsidRPr="00F041AD">
        <w:rPr>
          <w:color w:val="333333" w:themeColor="background1"/>
        </w:rPr>
        <w:t xml:space="preserve"> to support energy efficiency.</w:t>
      </w:r>
    </w:p>
    <w:p w14:paraId="65E880E5" w14:textId="77777777" w:rsidR="00B65A50" w:rsidRPr="00F041AD" w:rsidRDefault="00B65A50" w:rsidP="00164A5A">
      <w:pPr>
        <w:pStyle w:val="5BodyText"/>
        <w:rPr>
          <w:color w:val="333333" w:themeColor="background1"/>
        </w:rPr>
      </w:pPr>
    </w:p>
    <w:p w14:paraId="23A5ADBB" w14:textId="77777777" w:rsidR="00B65A50" w:rsidRPr="00F041AD" w:rsidRDefault="00B65A50" w:rsidP="00164A5A">
      <w:pPr>
        <w:pStyle w:val="5BodyText"/>
        <w:rPr>
          <w:b/>
          <w:i/>
          <w:color w:val="333333" w:themeColor="background1"/>
        </w:rPr>
      </w:pPr>
      <w:r w:rsidRPr="00F041AD">
        <w:rPr>
          <w:b/>
          <w:i/>
          <w:color w:val="333333" w:themeColor="background1"/>
        </w:rPr>
        <w:lastRenderedPageBreak/>
        <w:t>Ongoing Minnesota initiatives</w:t>
      </w:r>
    </w:p>
    <w:p w14:paraId="26069EED" w14:textId="77777777" w:rsidR="00B65A50" w:rsidRPr="00F041AD" w:rsidRDefault="00B65A50" w:rsidP="00164A5A">
      <w:pPr>
        <w:pStyle w:val="5BodyText"/>
        <w:numPr>
          <w:ilvl w:val="0"/>
          <w:numId w:val="94"/>
        </w:numPr>
        <w:rPr>
          <w:color w:val="333333" w:themeColor="background1"/>
          <w:szCs w:val="20"/>
        </w:rPr>
      </w:pPr>
      <w:r w:rsidRPr="00F041AD">
        <w:rPr>
          <w:color w:val="333333" w:themeColor="background1"/>
          <w:szCs w:val="20"/>
        </w:rPr>
        <w:t xml:space="preserve">This strategy will rely on the open </w:t>
      </w:r>
      <w:hyperlink r:id="rId123" w:history="1">
        <w:r w:rsidRPr="00F041AD">
          <w:rPr>
            <w:rStyle w:val="Hyperlink"/>
            <w:color w:val="333333" w:themeColor="background1"/>
            <w:szCs w:val="20"/>
          </w:rPr>
          <w:t>Public Utilities Commission Customer Data Privacy proceeding</w:t>
        </w:r>
      </w:hyperlink>
      <w:r w:rsidRPr="00F041AD">
        <w:rPr>
          <w:color w:val="333333" w:themeColor="background1"/>
          <w:szCs w:val="20"/>
        </w:rPr>
        <w:t xml:space="preserve"> (docket 12-1344) for a ruling on who can access energy usage data.</w:t>
      </w:r>
      <w:r w:rsidRPr="00F041AD">
        <w:rPr>
          <w:rStyle w:val="EndnoteReference"/>
          <w:color w:val="333333" w:themeColor="background1"/>
          <w:szCs w:val="20"/>
        </w:rPr>
        <w:endnoteReference w:id="183"/>
      </w:r>
      <w:r w:rsidRPr="00F041AD">
        <w:rPr>
          <w:color w:val="333333" w:themeColor="background1"/>
          <w:szCs w:val="20"/>
        </w:rPr>
        <w:t xml:space="preserve"> </w:t>
      </w:r>
    </w:p>
    <w:p w14:paraId="670BA238" w14:textId="77777777" w:rsidR="00B65A50" w:rsidRPr="00F041AD" w:rsidRDefault="00B65A50" w:rsidP="00164A5A">
      <w:pPr>
        <w:pStyle w:val="5BodyText"/>
        <w:rPr>
          <w:color w:val="333333" w:themeColor="background1"/>
          <w:szCs w:val="20"/>
        </w:rPr>
      </w:pPr>
    </w:p>
    <w:p w14:paraId="445B1A0E" w14:textId="77777777" w:rsidR="00B65A50" w:rsidRPr="00F041AD" w:rsidRDefault="00B65A50" w:rsidP="00164A5A">
      <w:pPr>
        <w:pStyle w:val="5BodyText"/>
        <w:numPr>
          <w:ilvl w:val="0"/>
          <w:numId w:val="94"/>
        </w:numPr>
        <w:rPr>
          <w:color w:val="333333" w:themeColor="background1"/>
          <w:szCs w:val="20"/>
        </w:rPr>
      </w:pPr>
      <w:r w:rsidRPr="00F041AD">
        <w:rPr>
          <w:color w:val="333333" w:themeColor="background1"/>
          <w:szCs w:val="20"/>
        </w:rPr>
        <w:t xml:space="preserve">Xcel Energy provides Green Button </w:t>
      </w:r>
      <w:r w:rsidRPr="00F041AD">
        <w:rPr>
          <w:i/>
          <w:color w:val="333333" w:themeColor="background1"/>
          <w:szCs w:val="20"/>
        </w:rPr>
        <w:t>Download My Data</w:t>
      </w:r>
      <w:r w:rsidRPr="00F041AD">
        <w:rPr>
          <w:color w:val="333333" w:themeColor="background1"/>
          <w:szCs w:val="20"/>
        </w:rPr>
        <w:t xml:space="preserve"> functionality to its customers, allowing them to access daily electricity consumption data. Xcel’s implementation does not provide access to demand data (i.e. peak kilowatt consumption for commercial customers, which drives a substantial portion of these customers’ bills) or more granular interval data that would be supported by AMI.</w:t>
      </w:r>
    </w:p>
    <w:p w14:paraId="76037183" w14:textId="77777777" w:rsidR="00B65A50" w:rsidRPr="00F041AD" w:rsidRDefault="00B65A50" w:rsidP="00164A5A">
      <w:pPr>
        <w:pStyle w:val="5BodyText"/>
        <w:rPr>
          <w:color w:val="333333" w:themeColor="background1"/>
          <w:szCs w:val="20"/>
        </w:rPr>
      </w:pPr>
    </w:p>
    <w:p w14:paraId="7D26940A" w14:textId="77777777" w:rsidR="00B65A50" w:rsidRPr="00F041AD" w:rsidRDefault="00B65A50" w:rsidP="00164A5A">
      <w:pPr>
        <w:pStyle w:val="5BodyText"/>
        <w:numPr>
          <w:ilvl w:val="0"/>
          <w:numId w:val="94"/>
        </w:numPr>
        <w:rPr>
          <w:color w:val="333333" w:themeColor="background1"/>
          <w:szCs w:val="20"/>
        </w:rPr>
      </w:pPr>
      <w:r w:rsidRPr="00F041AD">
        <w:rPr>
          <w:color w:val="333333" w:themeColor="background1"/>
          <w:szCs w:val="20"/>
        </w:rPr>
        <w:t xml:space="preserve">Xcel offers a </w:t>
      </w:r>
      <w:hyperlink r:id="rId124" w:history="1">
        <w:r w:rsidRPr="00F041AD">
          <w:rPr>
            <w:rStyle w:val="Hyperlink"/>
            <w:color w:val="333333" w:themeColor="background1"/>
            <w:szCs w:val="20"/>
          </w:rPr>
          <w:t>Benchmarking Portal</w:t>
        </w:r>
      </w:hyperlink>
      <w:r w:rsidRPr="00F041AD">
        <w:rPr>
          <w:color w:val="333333" w:themeColor="background1"/>
          <w:szCs w:val="20"/>
        </w:rPr>
        <w:t xml:space="preserve"> for automatic energy data transfer to Energy Star Portfolio Manager as part of a </w:t>
      </w:r>
      <w:hyperlink r:id="rId125" w:history="1">
        <w:r w:rsidRPr="00F041AD">
          <w:rPr>
            <w:rStyle w:val="Hyperlink"/>
            <w:color w:val="333333" w:themeColor="background1"/>
            <w:szCs w:val="20"/>
          </w:rPr>
          <w:t>CIP pilot</w:t>
        </w:r>
      </w:hyperlink>
      <w:r w:rsidRPr="00F041AD">
        <w:rPr>
          <w:color w:val="333333" w:themeColor="background1"/>
          <w:szCs w:val="20"/>
        </w:rPr>
        <w:t>.</w:t>
      </w:r>
      <w:r w:rsidRPr="00F041AD">
        <w:rPr>
          <w:rStyle w:val="EndnoteReference"/>
          <w:color w:val="333333" w:themeColor="background1"/>
          <w:szCs w:val="20"/>
        </w:rPr>
        <w:endnoteReference w:id="184"/>
      </w:r>
      <w:r w:rsidRPr="00F041AD">
        <w:rPr>
          <w:color w:val="333333" w:themeColor="background1"/>
          <w:szCs w:val="20"/>
        </w:rPr>
        <w:t xml:space="preserve"> </w:t>
      </w:r>
    </w:p>
    <w:p w14:paraId="4C0A41BD" w14:textId="77777777" w:rsidR="00B65A50" w:rsidRPr="00F041AD" w:rsidRDefault="00B65A50" w:rsidP="00164A5A">
      <w:pPr>
        <w:pStyle w:val="5BodyText"/>
        <w:rPr>
          <w:color w:val="333333" w:themeColor="background1"/>
          <w:szCs w:val="20"/>
        </w:rPr>
      </w:pPr>
    </w:p>
    <w:p w14:paraId="4088BE1C" w14:textId="77777777" w:rsidR="00B65A50" w:rsidRPr="00F041AD" w:rsidRDefault="006506BB" w:rsidP="00164A5A">
      <w:pPr>
        <w:pStyle w:val="5BodyText"/>
        <w:numPr>
          <w:ilvl w:val="0"/>
          <w:numId w:val="94"/>
        </w:numPr>
        <w:rPr>
          <w:color w:val="333333" w:themeColor="background1"/>
          <w:szCs w:val="20"/>
        </w:rPr>
      </w:pPr>
      <w:hyperlink r:id="rId126" w:history="1">
        <w:r w:rsidR="00B65A50" w:rsidRPr="00F041AD">
          <w:rPr>
            <w:rStyle w:val="Hyperlink"/>
            <w:color w:val="333333" w:themeColor="background1"/>
            <w:szCs w:val="20"/>
          </w:rPr>
          <w:t>B3 Benchmarking</w:t>
        </w:r>
      </w:hyperlink>
      <w:r w:rsidR="00B65A50" w:rsidRPr="00F041AD">
        <w:rPr>
          <w:color w:val="333333" w:themeColor="background1"/>
          <w:szCs w:val="20"/>
        </w:rPr>
        <w:t xml:space="preserve"> is developing a method to automatically transfer energy data for Xcel customers into B3 Benchmarking platform.</w:t>
      </w:r>
      <w:r w:rsidR="00B65A50" w:rsidRPr="00F041AD">
        <w:rPr>
          <w:rStyle w:val="EndnoteReference"/>
          <w:color w:val="333333" w:themeColor="background1"/>
          <w:szCs w:val="20"/>
        </w:rPr>
        <w:endnoteReference w:id="185"/>
      </w:r>
    </w:p>
    <w:p w14:paraId="58F218D4" w14:textId="77777777" w:rsidR="00B65A50" w:rsidRPr="00F041AD" w:rsidRDefault="00B65A50" w:rsidP="00164A5A">
      <w:pPr>
        <w:pStyle w:val="5BodyText"/>
        <w:rPr>
          <w:color w:val="333333" w:themeColor="background1"/>
          <w:szCs w:val="20"/>
        </w:rPr>
      </w:pPr>
    </w:p>
    <w:p w14:paraId="5AAF62FE" w14:textId="77777777" w:rsidR="00B65A50" w:rsidRPr="00F041AD" w:rsidRDefault="00B65A50" w:rsidP="00164A5A">
      <w:pPr>
        <w:pStyle w:val="5BodyText"/>
        <w:numPr>
          <w:ilvl w:val="0"/>
          <w:numId w:val="94"/>
        </w:numPr>
        <w:rPr>
          <w:color w:val="333333" w:themeColor="background1"/>
          <w:szCs w:val="20"/>
        </w:rPr>
      </w:pPr>
      <w:r w:rsidRPr="00F041AD">
        <w:rPr>
          <w:color w:val="333333" w:themeColor="background1"/>
          <w:szCs w:val="20"/>
        </w:rPr>
        <w:t xml:space="preserve">Xcel offers </w:t>
      </w:r>
      <w:hyperlink r:id="rId127" w:history="1">
        <w:r w:rsidRPr="00F041AD">
          <w:rPr>
            <w:rStyle w:val="Hyperlink"/>
            <w:color w:val="333333" w:themeColor="background1"/>
            <w:szCs w:val="20"/>
          </w:rPr>
          <w:t>Community Energy Reports</w:t>
        </w:r>
      </w:hyperlink>
      <w:r w:rsidRPr="00F041AD">
        <w:rPr>
          <w:color w:val="333333" w:themeColor="background1"/>
          <w:szCs w:val="20"/>
        </w:rPr>
        <w:t xml:space="preserve"> to all interested communities in their service territories to support community energy planning. These reports contain information on energy consumption and associated emissions, and participation in renewable, demand response, and energy efficiency programs.</w:t>
      </w:r>
      <w:r w:rsidRPr="00F041AD">
        <w:rPr>
          <w:rStyle w:val="EndnoteReference"/>
          <w:color w:val="333333" w:themeColor="background1"/>
          <w:szCs w:val="20"/>
        </w:rPr>
        <w:endnoteReference w:id="186"/>
      </w:r>
    </w:p>
    <w:p w14:paraId="15758C48" w14:textId="77777777" w:rsidR="00B65A50" w:rsidRPr="00F041AD" w:rsidRDefault="00B65A50" w:rsidP="00164A5A">
      <w:pPr>
        <w:pStyle w:val="5BodyText"/>
        <w:rPr>
          <w:color w:val="333333" w:themeColor="background1"/>
          <w:szCs w:val="20"/>
        </w:rPr>
      </w:pPr>
    </w:p>
    <w:p w14:paraId="5993701C" w14:textId="77777777" w:rsidR="00B65A50" w:rsidRPr="00F041AD" w:rsidRDefault="00B65A50" w:rsidP="00164A5A">
      <w:pPr>
        <w:pStyle w:val="5BodyText"/>
        <w:numPr>
          <w:ilvl w:val="0"/>
          <w:numId w:val="94"/>
        </w:numPr>
        <w:rPr>
          <w:color w:val="333333" w:themeColor="background1"/>
          <w:szCs w:val="20"/>
        </w:rPr>
      </w:pPr>
      <w:r w:rsidRPr="00F041AD">
        <w:rPr>
          <w:color w:val="333333" w:themeColor="background1"/>
          <w:szCs w:val="20"/>
        </w:rPr>
        <w:t xml:space="preserve">A number of Minnesota utilities use a web-based service provided by </w:t>
      </w:r>
      <w:hyperlink r:id="rId128" w:history="1">
        <w:proofErr w:type="spellStart"/>
        <w:r w:rsidRPr="00F041AD">
          <w:rPr>
            <w:rStyle w:val="Hyperlink"/>
            <w:color w:val="333333" w:themeColor="background1"/>
            <w:szCs w:val="20"/>
          </w:rPr>
          <w:t>MyMeter</w:t>
        </w:r>
        <w:proofErr w:type="spellEnd"/>
      </w:hyperlink>
      <w:r w:rsidRPr="00F041AD">
        <w:rPr>
          <w:color w:val="333333" w:themeColor="background1"/>
          <w:szCs w:val="20"/>
        </w:rPr>
        <w:t xml:space="preserve"> (based in Saint Paul) for customer data access, enhanced customer engagement, load management, pre-pay solutions, and outage management notification.</w:t>
      </w:r>
    </w:p>
    <w:p w14:paraId="0840C6BB" w14:textId="77777777" w:rsidR="00B65A50" w:rsidRPr="00F041AD" w:rsidRDefault="00B65A50" w:rsidP="00164A5A">
      <w:pPr>
        <w:pStyle w:val="5BodyText"/>
        <w:rPr>
          <w:color w:val="333333" w:themeColor="background1"/>
          <w:szCs w:val="20"/>
        </w:rPr>
      </w:pPr>
    </w:p>
    <w:p w14:paraId="38149E45" w14:textId="77777777" w:rsidR="00B65A50" w:rsidRPr="00F041AD" w:rsidRDefault="00B65A50" w:rsidP="00164A5A">
      <w:pPr>
        <w:pStyle w:val="5BodyText"/>
        <w:rPr>
          <w:i/>
          <w:color w:val="333333" w:themeColor="background1"/>
        </w:rPr>
      </w:pPr>
      <w:r w:rsidRPr="00F041AD">
        <w:rPr>
          <w:b/>
          <w:i/>
          <w:color w:val="333333" w:themeColor="background1"/>
        </w:rPr>
        <w:t>Other related resources</w:t>
      </w:r>
    </w:p>
    <w:p w14:paraId="0A088899" w14:textId="77777777" w:rsidR="00B65A50" w:rsidRPr="00F041AD" w:rsidRDefault="00B65A50" w:rsidP="00164A5A">
      <w:pPr>
        <w:pStyle w:val="5BodyText"/>
        <w:numPr>
          <w:ilvl w:val="0"/>
          <w:numId w:val="95"/>
        </w:numPr>
        <w:rPr>
          <w:color w:val="333333" w:themeColor="background1"/>
          <w:szCs w:val="20"/>
        </w:rPr>
      </w:pPr>
      <w:r w:rsidRPr="00F041AD">
        <w:rPr>
          <w:color w:val="333333" w:themeColor="background1"/>
          <w:szCs w:val="20"/>
        </w:rPr>
        <w:t>A study called “</w:t>
      </w:r>
      <w:hyperlink r:id="rId129" w:history="1">
        <w:r w:rsidRPr="00F041AD">
          <w:rPr>
            <w:rStyle w:val="Hyperlink"/>
            <w:color w:val="333333" w:themeColor="background1"/>
            <w:szCs w:val="20"/>
          </w:rPr>
          <w:t>Energy Consumption Data: The Key to Improved Energy Efficiency</w:t>
        </w:r>
      </w:hyperlink>
      <w:r w:rsidRPr="00F041AD">
        <w:rPr>
          <w:color w:val="333333" w:themeColor="background1"/>
          <w:szCs w:val="20"/>
        </w:rPr>
        <w:t>,” conducted by two University of Minnesota professors, demonstrates the range of state and federal efforts supporting data access.</w:t>
      </w:r>
      <w:r w:rsidRPr="00F041AD">
        <w:rPr>
          <w:rStyle w:val="EndnoteReference"/>
          <w:color w:val="333333" w:themeColor="background1"/>
          <w:szCs w:val="20"/>
        </w:rPr>
        <w:endnoteReference w:id="187"/>
      </w:r>
    </w:p>
    <w:p w14:paraId="046D0CA9" w14:textId="77777777" w:rsidR="00B65A50" w:rsidRPr="00F041AD" w:rsidRDefault="00B65A50" w:rsidP="00164A5A">
      <w:pPr>
        <w:pStyle w:val="5BodyText"/>
        <w:rPr>
          <w:color w:val="333333" w:themeColor="background1"/>
          <w:szCs w:val="20"/>
        </w:rPr>
      </w:pPr>
    </w:p>
    <w:p w14:paraId="668B4FE9" w14:textId="77777777" w:rsidR="00B65A50" w:rsidRPr="00F041AD" w:rsidRDefault="00B65A50" w:rsidP="00164A5A">
      <w:pPr>
        <w:pStyle w:val="5BodyText"/>
        <w:numPr>
          <w:ilvl w:val="0"/>
          <w:numId w:val="95"/>
        </w:numPr>
        <w:rPr>
          <w:color w:val="333333" w:themeColor="background1"/>
          <w:szCs w:val="20"/>
        </w:rPr>
      </w:pPr>
      <w:r w:rsidRPr="00F041AD">
        <w:rPr>
          <w:color w:val="333333" w:themeColor="background1"/>
          <w:szCs w:val="20"/>
        </w:rPr>
        <w:t>“</w:t>
      </w:r>
      <w:hyperlink r:id="rId130">
        <w:r w:rsidRPr="00F041AD">
          <w:rPr>
            <w:color w:val="333333" w:themeColor="background1"/>
            <w:szCs w:val="20"/>
            <w:u w:val="single"/>
          </w:rPr>
          <w:t>Integrating Benchmarking into Utility Conservation Improvement Programs to Capture Greater Energy Savings</w:t>
        </w:r>
      </w:hyperlink>
      <w:r w:rsidRPr="00F041AD">
        <w:rPr>
          <w:color w:val="333333" w:themeColor="background1"/>
          <w:szCs w:val="20"/>
        </w:rPr>
        <w:t xml:space="preserve">,” prepared by The </w:t>
      </w:r>
      <w:proofErr w:type="spellStart"/>
      <w:r w:rsidRPr="00F041AD">
        <w:rPr>
          <w:color w:val="333333" w:themeColor="background1"/>
          <w:szCs w:val="20"/>
        </w:rPr>
        <w:t>Weidt</w:t>
      </w:r>
      <w:proofErr w:type="spellEnd"/>
      <w:r w:rsidRPr="00F041AD">
        <w:rPr>
          <w:color w:val="333333" w:themeColor="background1"/>
          <w:szCs w:val="20"/>
        </w:rPr>
        <w:t xml:space="preserve"> Group for the Minnesota Department of Commerce, highlights different means of energy data access in Minnesota and the related benefits of using the data in benchmarking programs.</w:t>
      </w:r>
      <w:r w:rsidRPr="00F041AD">
        <w:rPr>
          <w:rStyle w:val="EndnoteReference"/>
          <w:color w:val="333333" w:themeColor="background1"/>
          <w:szCs w:val="20"/>
        </w:rPr>
        <w:endnoteReference w:id="188"/>
      </w:r>
    </w:p>
    <w:p w14:paraId="09859768" w14:textId="77777777" w:rsidR="00B65A50" w:rsidRPr="00F041AD" w:rsidRDefault="00B65A50" w:rsidP="00164A5A">
      <w:pPr>
        <w:pStyle w:val="5BodyText"/>
        <w:numPr>
          <w:ilvl w:val="0"/>
          <w:numId w:val="95"/>
        </w:numPr>
        <w:rPr>
          <w:color w:val="333333" w:themeColor="background1"/>
        </w:rPr>
      </w:pPr>
      <w:proofErr w:type="spellStart"/>
      <w:r w:rsidRPr="00F041AD">
        <w:rPr>
          <w:color w:val="333333" w:themeColor="background1"/>
        </w:rPr>
        <w:t>Mission:Data’s</w:t>
      </w:r>
      <w:proofErr w:type="spellEnd"/>
      <w:r w:rsidRPr="00F041AD">
        <w:rPr>
          <w:color w:val="333333" w:themeColor="background1"/>
        </w:rPr>
        <w:t xml:space="preserve"> study, “</w:t>
      </w:r>
      <w:hyperlink r:id="rId131">
        <w:r w:rsidRPr="00F041AD">
          <w:rPr>
            <w:color w:val="333333" w:themeColor="background1"/>
            <w:u w:val="single"/>
          </w:rPr>
          <w:t xml:space="preserve">The </w:t>
        </w:r>
        <w:proofErr w:type="spellStart"/>
        <w:r w:rsidRPr="00F041AD">
          <w:rPr>
            <w:color w:val="333333" w:themeColor="background1"/>
            <w:u w:val="single"/>
          </w:rPr>
          <w:t>EmPOWERED</w:t>
        </w:r>
        <w:proofErr w:type="spellEnd"/>
        <w:r w:rsidRPr="00F041AD">
          <w:rPr>
            <w:color w:val="333333" w:themeColor="background1"/>
            <w:u w:val="single"/>
          </w:rPr>
          <w:t xml:space="preserve"> Consumer</w:t>
        </w:r>
      </w:hyperlink>
      <w:r w:rsidRPr="00F041AD">
        <w:rPr>
          <w:color w:val="333333" w:themeColor="background1"/>
        </w:rPr>
        <w:t>: How Consumer Access to Energy Data can Help Solve our Biggest Energy Challenge,” features case studies from three states on energy savings achieved due to enhanced energy data access.</w:t>
      </w:r>
      <w:r w:rsidRPr="00F041AD">
        <w:rPr>
          <w:rStyle w:val="EndnoteReference"/>
          <w:color w:val="333333" w:themeColor="background1"/>
        </w:rPr>
        <w:endnoteReference w:id="189"/>
      </w:r>
    </w:p>
    <w:p w14:paraId="15B3D7FA" w14:textId="77777777" w:rsidR="001D23E0" w:rsidRPr="00F041AD" w:rsidRDefault="001D23E0" w:rsidP="007F3F44">
      <w:pPr>
        <w:pStyle w:val="6BodyHighlight"/>
        <w:rPr>
          <w:color w:val="333333" w:themeColor="background1"/>
        </w:rPr>
      </w:pPr>
      <w:bookmarkStart w:id="202" w:name="h.3l18frh" w:colFirst="0" w:colLast="0"/>
      <w:bookmarkStart w:id="203" w:name="_Toc317317601"/>
      <w:bookmarkStart w:id="204" w:name="_Toc318126176"/>
      <w:bookmarkStart w:id="205" w:name="_Toc319794281"/>
      <w:bookmarkEnd w:id="202"/>
    </w:p>
    <w:p w14:paraId="1352E767" w14:textId="1BAAB159" w:rsidR="00B65A50" w:rsidRPr="00F041AD" w:rsidRDefault="00B65A50" w:rsidP="004C45CB">
      <w:pPr>
        <w:pStyle w:val="StrategyName"/>
      </w:pPr>
      <w:bookmarkStart w:id="206" w:name="_Toc322961644"/>
      <w:bookmarkStart w:id="207" w:name="_Toc322962045"/>
      <w:bookmarkStart w:id="208" w:name="_Toc322962232"/>
      <w:r w:rsidRPr="00F041AD">
        <w:lastRenderedPageBreak/>
        <w:t>C</w:t>
      </w:r>
      <w:r w:rsidR="00725676">
        <w:t>3</w:t>
      </w:r>
      <w:r w:rsidRPr="00F041AD">
        <w:t>. Increase adoption of commercial building energy benchmarking and disclosure programs</w:t>
      </w:r>
      <w:bookmarkEnd w:id="203"/>
      <w:bookmarkEnd w:id="204"/>
      <w:bookmarkEnd w:id="205"/>
      <w:bookmarkEnd w:id="206"/>
      <w:bookmarkEnd w:id="207"/>
      <w:bookmarkEnd w:id="208"/>
    </w:p>
    <w:p w14:paraId="6E842246" w14:textId="77777777" w:rsidR="00B65A50" w:rsidRPr="00F041AD" w:rsidRDefault="00B65A50" w:rsidP="00164A5A">
      <w:pPr>
        <w:pStyle w:val="5BodyText"/>
        <w:rPr>
          <w:color w:val="333333" w:themeColor="background1"/>
        </w:rPr>
      </w:pPr>
    </w:p>
    <w:p w14:paraId="5E23B8AF" w14:textId="77777777" w:rsidR="00B65A50" w:rsidRPr="00F041AD" w:rsidRDefault="00B65A50" w:rsidP="00164A5A">
      <w:pPr>
        <w:pStyle w:val="5BodyText"/>
        <w:rPr>
          <w:b/>
          <w:i/>
          <w:color w:val="333333" w:themeColor="background1"/>
        </w:rPr>
      </w:pPr>
      <w:r w:rsidRPr="00F041AD">
        <w:rPr>
          <w:b/>
          <w:i/>
          <w:color w:val="333333" w:themeColor="background1"/>
        </w:rPr>
        <w:t xml:space="preserve">Strategy Overview </w:t>
      </w:r>
    </w:p>
    <w:p w14:paraId="1B710916" w14:textId="77777777" w:rsidR="00B65A50" w:rsidRPr="00F041AD" w:rsidRDefault="00B65A50" w:rsidP="00164A5A">
      <w:pPr>
        <w:pStyle w:val="5BodyText"/>
        <w:rPr>
          <w:color w:val="333333" w:themeColor="background1"/>
        </w:rPr>
      </w:pPr>
      <w:r w:rsidRPr="00F041AD">
        <w:rPr>
          <w:color w:val="333333" w:themeColor="background1"/>
        </w:rPr>
        <w:t xml:space="preserve">With proper access to data, commercial building owners and operators can track and analyze their own energy use data, identify savings opportunities, and verify actual savings. However, access to energy data alone may not lead to savings.  This is where benchmarking and disclosure programs come into play. Benchmarking and disclosure programs require that energy use be tracked and compared against similar buildings, or benchmarked, and then made public. The process of benchmarking and disclosing energy use can encourage building owners and operators to better manage energy use and identify cost-effective upgrades, and can help enable cities and states to help meet building energy efficiency targets.  </w:t>
      </w:r>
    </w:p>
    <w:p w14:paraId="5A765FF7" w14:textId="77777777" w:rsidR="00B65A50" w:rsidRPr="00F041AD" w:rsidRDefault="00B65A50" w:rsidP="00164A5A">
      <w:pPr>
        <w:pStyle w:val="5BodyText"/>
        <w:rPr>
          <w:color w:val="333333" w:themeColor="background1"/>
        </w:rPr>
      </w:pPr>
    </w:p>
    <w:p w14:paraId="0A4C71CE" w14:textId="77777777" w:rsidR="00B65A50" w:rsidRPr="00F041AD" w:rsidRDefault="00B65A50" w:rsidP="00164A5A">
      <w:pPr>
        <w:pStyle w:val="5BodyText"/>
        <w:rPr>
          <w:color w:val="333333" w:themeColor="background1"/>
        </w:rPr>
      </w:pPr>
      <w:r w:rsidRPr="00F041AD">
        <w:rPr>
          <w:color w:val="333333" w:themeColor="background1"/>
        </w:rPr>
        <w:t>Nationwide, benchmarking and disclosure programs have been proven to drive energy savings, Minnesota’s experience has also been positive. 36,000 buildings analyzed by EPA using Portfolio Manager showed average savings of 2.4 percent. Minnesota State Colleges and Universities (</w:t>
      </w:r>
      <w:proofErr w:type="spellStart"/>
      <w:r w:rsidRPr="00F041AD">
        <w:rPr>
          <w:color w:val="333333" w:themeColor="background1"/>
        </w:rPr>
        <w:t>MnSCU</w:t>
      </w:r>
      <w:proofErr w:type="spellEnd"/>
      <w:r w:rsidRPr="00F041AD">
        <w:rPr>
          <w:color w:val="333333" w:themeColor="background1"/>
        </w:rPr>
        <w:t>) has had a successful benchmarking and disclosure program, with an 8.5 percent energy savings associated with disclosing campus energy use on a public website. This strategy outlines the means for broadening participation in benchmarking and disclosure programs in Minnesota.</w:t>
      </w:r>
    </w:p>
    <w:p w14:paraId="31B6B4F8" w14:textId="77777777" w:rsidR="00B65A50" w:rsidRPr="00F041AD" w:rsidRDefault="00B65A50" w:rsidP="00164A5A">
      <w:pPr>
        <w:pStyle w:val="5BodyText"/>
        <w:rPr>
          <w:color w:val="333333" w:themeColor="background1"/>
        </w:rPr>
      </w:pPr>
    </w:p>
    <w:p w14:paraId="49494C5C" w14:textId="77777777" w:rsidR="00B65A50" w:rsidRPr="00F041AD" w:rsidRDefault="00B65A50" w:rsidP="00164A5A">
      <w:pPr>
        <w:pStyle w:val="5BodyText"/>
        <w:rPr>
          <w:color w:val="333333" w:themeColor="background1"/>
        </w:rPr>
      </w:pPr>
      <w:r w:rsidRPr="00F041AD">
        <w:rPr>
          <w:color w:val="333333" w:themeColor="background1"/>
        </w:rPr>
        <w:t xml:space="preserve">Stakeholders have identified benchmarking and disclosing building energy use data as a near-term, high-value lever that can identify areas for improvement in existing buildings; can help ensure that new buildings are operating as predicted; and can measure the impact and persistence of actions taken, whether energy efficiency retrofits or behavior modification strategies.  </w:t>
      </w:r>
    </w:p>
    <w:p w14:paraId="1C033D17" w14:textId="77777777" w:rsidR="00B65A50" w:rsidRPr="00F041AD" w:rsidRDefault="00B65A50" w:rsidP="00164A5A">
      <w:pPr>
        <w:pStyle w:val="5BodyText"/>
        <w:rPr>
          <w:color w:val="333333" w:themeColor="background1"/>
        </w:rPr>
      </w:pPr>
    </w:p>
    <w:p w14:paraId="434B62C3" w14:textId="77777777" w:rsidR="00B65A50" w:rsidRPr="00F041AD" w:rsidRDefault="00B65A50" w:rsidP="00164A5A">
      <w:pPr>
        <w:pStyle w:val="5BodyText"/>
        <w:rPr>
          <w:bCs/>
          <w:i/>
          <w:iCs/>
          <w:color w:val="333333" w:themeColor="background1"/>
        </w:rPr>
      </w:pPr>
      <w:r w:rsidRPr="00F041AD">
        <w:rPr>
          <w:b/>
          <w:bCs/>
          <w:i/>
          <w:iCs/>
          <w:color w:val="333333" w:themeColor="background1"/>
        </w:rPr>
        <w:t>Specific actions for strategy implementation</w:t>
      </w:r>
    </w:p>
    <w:p w14:paraId="3E18B0A7" w14:textId="77777777" w:rsidR="00B65A50" w:rsidRPr="00F041AD" w:rsidRDefault="00B65A50" w:rsidP="00164A5A">
      <w:pPr>
        <w:pStyle w:val="5BodyText"/>
        <w:numPr>
          <w:ilvl w:val="0"/>
          <w:numId w:val="96"/>
        </w:numPr>
        <w:rPr>
          <w:color w:val="333333" w:themeColor="background1"/>
        </w:rPr>
      </w:pPr>
      <w:r w:rsidRPr="00F041AD">
        <w:rPr>
          <w:b/>
          <w:color w:val="333333" w:themeColor="background1"/>
        </w:rPr>
        <w:t>Expand access to B3 Benchmarking tools to encourage voluntary benchmarking.</w:t>
      </w:r>
      <w:r w:rsidRPr="00F041AD">
        <w:rPr>
          <w:b/>
          <w:color w:val="333333" w:themeColor="background1"/>
        </w:rPr>
        <w:br/>
      </w:r>
      <w:r w:rsidRPr="00F041AD">
        <w:rPr>
          <w:color w:val="333333" w:themeColor="background1"/>
        </w:rPr>
        <w:t xml:space="preserve">B3 Benchmarking software allows buildings to compare their energy use with a code-based benchmark, identify areas of improvement, and quantify the cost savings. B3 Benchmarking is available at no cost for Minnesota public buildings, and is required for buildings participating in SB 2030. </w:t>
      </w:r>
    </w:p>
    <w:p w14:paraId="543DBA07" w14:textId="77777777" w:rsidR="00B65A50" w:rsidRPr="00F041AD" w:rsidRDefault="00B65A50" w:rsidP="00164A5A">
      <w:pPr>
        <w:pStyle w:val="5BodyText"/>
        <w:rPr>
          <w:color w:val="333333" w:themeColor="background1"/>
        </w:rPr>
      </w:pPr>
    </w:p>
    <w:p w14:paraId="5F1683B2" w14:textId="77777777" w:rsidR="00B65A50" w:rsidRPr="00F041AD" w:rsidRDefault="00B65A50" w:rsidP="00164A5A">
      <w:pPr>
        <w:pStyle w:val="5BodyText"/>
        <w:ind w:left="720"/>
        <w:rPr>
          <w:color w:val="333333" w:themeColor="background1"/>
        </w:rPr>
      </w:pPr>
      <w:r w:rsidRPr="00F041AD">
        <w:rPr>
          <w:color w:val="333333" w:themeColor="background1"/>
        </w:rPr>
        <w:t>Extending access to and training on B3 Benchmarking to a subset of buildings would enable building owners and operators to more deeply understand</w:t>
      </w:r>
      <w:r w:rsidRPr="00F041AD">
        <w:rPr>
          <w:i/>
          <w:color w:val="333333" w:themeColor="background1"/>
        </w:rPr>
        <w:t xml:space="preserve"> </w:t>
      </w:r>
      <w:r w:rsidRPr="00F041AD">
        <w:rPr>
          <w:color w:val="333333" w:themeColor="background1"/>
        </w:rPr>
        <w:t xml:space="preserve">their building energy performance and opportunities for savings. Additionally, this would create the framework for a comprehensive database of building energy use in Minnesota that could be leveraged to develop targeted energy efficiency programs and track progress. </w:t>
      </w:r>
    </w:p>
    <w:p w14:paraId="7DC725BE" w14:textId="77777777" w:rsidR="00B65A50" w:rsidRPr="00F041AD" w:rsidRDefault="00B65A50" w:rsidP="00164A5A">
      <w:pPr>
        <w:pStyle w:val="5BodyText"/>
        <w:rPr>
          <w:color w:val="333333" w:themeColor="background1"/>
        </w:rPr>
      </w:pPr>
    </w:p>
    <w:p w14:paraId="5BFFE14F" w14:textId="77777777" w:rsidR="00B65A50" w:rsidRPr="00F041AD" w:rsidRDefault="00B65A50" w:rsidP="00164A5A">
      <w:pPr>
        <w:pStyle w:val="5BodyText"/>
        <w:ind w:left="720"/>
        <w:rPr>
          <w:color w:val="333333" w:themeColor="background1"/>
        </w:rPr>
      </w:pPr>
      <w:r w:rsidRPr="00F041AD">
        <w:rPr>
          <w:b/>
          <w:color w:val="333333" w:themeColor="background1"/>
        </w:rPr>
        <w:t xml:space="preserve">Champions/Key Participants: </w:t>
      </w:r>
    </w:p>
    <w:p w14:paraId="02737423" w14:textId="77777777" w:rsidR="00B65A50" w:rsidRPr="00F041AD" w:rsidRDefault="00B65A50" w:rsidP="00164A5A">
      <w:pPr>
        <w:pStyle w:val="5BodyText"/>
        <w:ind w:left="720"/>
        <w:rPr>
          <w:color w:val="333333" w:themeColor="background1"/>
          <w:u w:val="single"/>
        </w:rPr>
      </w:pPr>
      <w:r w:rsidRPr="00F041AD">
        <w:rPr>
          <w:rFonts w:asciiTheme="majorHAnsi" w:hAnsiTheme="majorHAnsi"/>
          <w:color w:val="333333" w:themeColor="background1"/>
        </w:rPr>
        <w:lastRenderedPageBreak/>
        <w:t xml:space="preserve">- </w:t>
      </w:r>
      <w:r w:rsidRPr="00F041AD">
        <w:rPr>
          <w:color w:val="333333" w:themeColor="background1"/>
          <w:u w:val="single"/>
        </w:rPr>
        <w:t>Center for Sustainable Building Research</w:t>
      </w:r>
      <w:r w:rsidRPr="00F041AD">
        <w:rPr>
          <w:color w:val="333333" w:themeColor="background1"/>
        </w:rPr>
        <w:t xml:space="preserve"> can facilitate the expanded use of B3 Benchmarking.</w:t>
      </w:r>
    </w:p>
    <w:p w14:paraId="223B0D6D"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u w:val="single"/>
        </w:rPr>
        <w:t xml:space="preserve">The </w:t>
      </w:r>
      <w:proofErr w:type="spellStart"/>
      <w:r w:rsidRPr="00F041AD">
        <w:rPr>
          <w:color w:val="333333" w:themeColor="background1"/>
          <w:u w:val="single"/>
        </w:rPr>
        <w:t>Weidt</w:t>
      </w:r>
      <w:proofErr w:type="spellEnd"/>
      <w:r w:rsidRPr="00F041AD">
        <w:rPr>
          <w:color w:val="333333" w:themeColor="background1"/>
          <w:u w:val="single"/>
        </w:rPr>
        <w:t xml:space="preserve"> Group</w:t>
      </w:r>
      <w:r w:rsidRPr="00F041AD">
        <w:rPr>
          <w:color w:val="333333" w:themeColor="background1"/>
        </w:rPr>
        <w:t xml:space="preserve"> can facilitate the expanded use of B3 Benchmarking.</w:t>
      </w:r>
    </w:p>
    <w:p w14:paraId="4E7ED69B"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u w:val="single"/>
        </w:rPr>
        <w:t>LHB</w:t>
      </w:r>
      <w:r w:rsidRPr="00F041AD">
        <w:rPr>
          <w:color w:val="333333" w:themeColor="background1"/>
        </w:rPr>
        <w:t xml:space="preserve"> can facilitate the expanded use of B3 Benchmarking. </w:t>
      </w:r>
    </w:p>
    <w:p w14:paraId="72FBD824"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u w:val="single"/>
        </w:rPr>
        <w:t>Department of Commerce</w:t>
      </w:r>
      <w:r w:rsidRPr="00F041AD">
        <w:rPr>
          <w:color w:val="333333" w:themeColor="background1"/>
        </w:rPr>
        <w:t xml:space="preserve"> reviews costs and benefits of increasing funding to expand tool for voluntary private sector.</w:t>
      </w:r>
    </w:p>
    <w:p w14:paraId="429FC321" w14:textId="77777777" w:rsidR="00B65A50" w:rsidRPr="00F041AD" w:rsidRDefault="00B65A50" w:rsidP="00164A5A">
      <w:pPr>
        <w:pStyle w:val="5BodyText"/>
        <w:rPr>
          <w:color w:val="333333" w:themeColor="background1"/>
        </w:rPr>
      </w:pPr>
    </w:p>
    <w:p w14:paraId="060DB21E" w14:textId="77777777" w:rsidR="00B65A50" w:rsidRPr="00F041AD" w:rsidRDefault="00B65A50" w:rsidP="00164A5A">
      <w:pPr>
        <w:pStyle w:val="5BodyText"/>
        <w:numPr>
          <w:ilvl w:val="0"/>
          <w:numId w:val="96"/>
        </w:numPr>
        <w:rPr>
          <w:b/>
          <w:i/>
          <w:color w:val="333333" w:themeColor="background1"/>
        </w:rPr>
      </w:pPr>
      <w:r w:rsidRPr="00F041AD">
        <w:rPr>
          <w:b/>
          <w:color w:val="333333" w:themeColor="background1"/>
        </w:rPr>
        <w:t>Work collaboratively with local governments and tribal nations to encourage voluntary benchmarking programs.</w:t>
      </w:r>
      <w:r w:rsidRPr="00F041AD">
        <w:rPr>
          <w:b/>
          <w:color w:val="333333" w:themeColor="background1"/>
        </w:rPr>
        <w:br/>
      </w:r>
      <w:r w:rsidRPr="00F041AD">
        <w:rPr>
          <w:color w:val="333333" w:themeColor="background1"/>
        </w:rPr>
        <w:t>Local governments and tribal nations may be interested in how voluntary benchmarking can lead to energy savings in commercial buildings and lay the groundwork for deeper energy savings across the community. To provide maximum benefit, collaborative efforts could focus on how local governments and tribal nations can engage local businesses in benchmarking through lease requirements, competitions, and incentive programs. By empowering interested cities, counties, and tribal nations to pass on training to commercial building owners, this strategy can encourage voluntary participation in energy benchmarking.</w:t>
      </w:r>
    </w:p>
    <w:p w14:paraId="5676D64E" w14:textId="77777777" w:rsidR="00B65A50" w:rsidRPr="00F041AD" w:rsidRDefault="00B65A50" w:rsidP="00164A5A">
      <w:pPr>
        <w:pStyle w:val="5BodyText"/>
        <w:rPr>
          <w:b/>
          <w:i/>
          <w:color w:val="333333" w:themeColor="background1"/>
        </w:rPr>
      </w:pPr>
    </w:p>
    <w:p w14:paraId="28084B06" w14:textId="77777777" w:rsidR="00B65A50" w:rsidRPr="00F041AD" w:rsidRDefault="00B65A50" w:rsidP="00164A5A">
      <w:pPr>
        <w:pStyle w:val="5BodyText"/>
        <w:ind w:left="720"/>
        <w:rPr>
          <w:b/>
          <w:color w:val="333333" w:themeColor="background1"/>
        </w:rPr>
      </w:pPr>
      <w:r w:rsidRPr="00F041AD">
        <w:rPr>
          <w:b/>
          <w:color w:val="333333" w:themeColor="background1"/>
        </w:rPr>
        <w:t xml:space="preserve">Champions/Key Participants: </w:t>
      </w:r>
    </w:p>
    <w:p w14:paraId="6132F31A"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USGBC-MN can coordinate efforts to expand adoption of benchmarking programs.</w:t>
      </w:r>
    </w:p>
    <w:p w14:paraId="7AA5290C"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 xml:space="preserve">CEE provides community engagement and education on benchmarking, energy competitions, and other tools and resources. </w:t>
      </w:r>
    </w:p>
    <w:p w14:paraId="2D24B430"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Great Plains Institute can provide education on the importance of building energy benchmarking.</w:t>
      </w:r>
    </w:p>
    <w:p w14:paraId="74214E9B"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CERTS can provide city and tribal staff with training on benchmarking tools.</w:t>
      </w:r>
    </w:p>
    <w:p w14:paraId="3CD180DA" w14:textId="1FCAF09D" w:rsidR="00B65A50" w:rsidRPr="00F041AD" w:rsidRDefault="00B65A50" w:rsidP="00164A5A">
      <w:pPr>
        <w:pStyle w:val="5BodyText"/>
        <w:ind w:left="720"/>
        <w:rPr>
          <w:b/>
          <w:i/>
          <w:color w:val="333333" w:themeColor="background1"/>
        </w:rPr>
      </w:pPr>
      <w:r w:rsidRPr="00F041AD">
        <w:rPr>
          <w:rFonts w:asciiTheme="majorHAnsi" w:hAnsiTheme="majorHAnsi"/>
          <w:color w:val="333333" w:themeColor="background1"/>
        </w:rPr>
        <w:t xml:space="preserve">- </w:t>
      </w:r>
      <w:proofErr w:type="spellStart"/>
      <w:r w:rsidRPr="00F041AD">
        <w:rPr>
          <w:color w:val="333333" w:themeColor="background1"/>
        </w:rPr>
        <w:t>GreenStep</w:t>
      </w:r>
      <w:proofErr w:type="spellEnd"/>
      <w:r w:rsidRPr="00F041AD">
        <w:rPr>
          <w:color w:val="333333" w:themeColor="background1"/>
        </w:rPr>
        <w:t xml:space="preserve"> Cities can provide funding to support city and tribal staff training for local businesses,  </w:t>
      </w:r>
    </w:p>
    <w:p w14:paraId="4C48FE71" w14:textId="77777777" w:rsidR="00B65A50" w:rsidRPr="00F041AD" w:rsidRDefault="00B65A50" w:rsidP="00164A5A">
      <w:pPr>
        <w:pStyle w:val="5BodyText"/>
        <w:rPr>
          <w:b/>
          <w:i/>
          <w:color w:val="333333" w:themeColor="background1"/>
        </w:rPr>
      </w:pPr>
    </w:p>
    <w:p w14:paraId="27560753" w14:textId="77777777" w:rsidR="00B65A50" w:rsidRPr="00F041AD" w:rsidRDefault="00B65A50" w:rsidP="00164A5A">
      <w:pPr>
        <w:pStyle w:val="5BodyText"/>
        <w:numPr>
          <w:ilvl w:val="0"/>
          <w:numId w:val="96"/>
        </w:numPr>
        <w:rPr>
          <w:b/>
          <w:i/>
          <w:color w:val="333333" w:themeColor="background1"/>
        </w:rPr>
      </w:pPr>
      <w:r w:rsidRPr="00F041AD">
        <w:rPr>
          <w:b/>
          <w:color w:val="333333" w:themeColor="background1"/>
        </w:rPr>
        <w:t>Promote adoption of energy benchmarking and disclosure ordinances</w:t>
      </w:r>
      <w:r w:rsidRPr="00F041AD">
        <w:rPr>
          <w:b/>
          <w:i/>
          <w:color w:val="333333" w:themeColor="background1"/>
        </w:rPr>
        <w:t xml:space="preserve">. </w:t>
      </w:r>
      <w:r w:rsidRPr="00F041AD">
        <w:rPr>
          <w:color w:val="333333" w:themeColor="background1"/>
        </w:rPr>
        <w:t xml:space="preserve">After ensuring broader, voluntary use of benchmarking tools by local groups and building owners, a follow-up step will promote adoption of benchmarking and disclosure ordinances. Requiring building owners to publicly disclose their energy use (without compromising privacy) can prompt building owners and operators to become more aware of their energy use and allow them to compare their energy use with similar buildings, encouraging friendly competition to reduce energy expenses. Commercial building energy disclosure ordinances in Minnesota cities and tribal communities can unlock additional energy savings by ensuring that these jurisdictions have the data and analytical tools necessary to identify low-performing buildings and target them for upgrades. </w:t>
      </w:r>
    </w:p>
    <w:p w14:paraId="2A63BF90" w14:textId="77777777" w:rsidR="00B65A50" w:rsidRPr="00F041AD" w:rsidRDefault="00B65A50" w:rsidP="00164A5A">
      <w:pPr>
        <w:pStyle w:val="5BodyText"/>
        <w:rPr>
          <w:b/>
          <w:i/>
          <w:color w:val="333333" w:themeColor="background1"/>
        </w:rPr>
      </w:pPr>
    </w:p>
    <w:p w14:paraId="4FB8CAEF" w14:textId="77777777" w:rsidR="00B65A50" w:rsidRPr="00F041AD" w:rsidRDefault="00B65A50" w:rsidP="00164A5A">
      <w:pPr>
        <w:pStyle w:val="5BodyText"/>
        <w:ind w:left="720"/>
        <w:rPr>
          <w:b/>
          <w:i/>
          <w:color w:val="333333" w:themeColor="background1"/>
        </w:rPr>
      </w:pPr>
      <w:r w:rsidRPr="00F041AD">
        <w:rPr>
          <w:color w:val="333333" w:themeColor="background1"/>
        </w:rPr>
        <w:lastRenderedPageBreak/>
        <w:t>By first piloting in a few local jurisdictions, benchmarking and disclosure ordinances can establish a strong baseline of energy use for participating buildings, and lay the foundation for future benchmarking and disclosure programs for large commercial buildings.</w:t>
      </w:r>
    </w:p>
    <w:p w14:paraId="7F4E0192" w14:textId="77777777" w:rsidR="00B65A50" w:rsidRPr="00F041AD" w:rsidRDefault="00B65A50" w:rsidP="00164A5A">
      <w:pPr>
        <w:pStyle w:val="5BodyText"/>
        <w:rPr>
          <w:color w:val="333333" w:themeColor="background1"/>
        </w:rPr>
      </w:pPr>
    </w:p>
    <w:p w14:paraId="6E9F3A91" w14:textId="77777777" w:rsidR="00B65A50" w:rsidRPr="00F041AD" w:rsidRDefault="00B65A50" w:rsidP="00164A5A">
      <w:pPr>
        <w:pStyle w:val="5BodyText"/>
        <w:ind w:left="720"/>
        <w:rPr>
          <w:color w:val="333333" w:themeColor="background1"/>
        </w:rPr>
      </w:pPr>
      <w:r w:rsidRPr="00F041AD">
        <w:rPr>
          <w:b/>
          <w:color w:val="333333" w:themeColor="background1"/>
        </w:rPr>
        <w:t>Champions/Key Participants:</w:t>
      </w:r>
      <w:r w:rsidRPr="00F041AD">
        <w:rPr>
          <w:color w:val="333333" w:themeColor="background1"/>
        </w:rPr>
        <w:t xml:space="preserve"> </w:t>
      </w:r>
    </w:p>
    <w:p w14:paraId="6D96C8AE" w14:textId="6E9A8110"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u w:val="single"/>
        </w:rPr>
        <w:t xml:space="preserve">Minnesota Pollution Control Agency via </w:t>
      </w:r>
      <w:proofErr w:type="spellStart"/>
      <w:r w:rsidRPr="00F041AD">
        <w:rPr>
          <w:color w:val="333333" w:themeColor="background1"/>
          <w:u w:val="single"/>
        </w:rPr>
        <w:t>GreenStep</w:t>
      </w:r>
      <w:proofErr w:type="spellEnd"/>
      <w:r w:rsidRPr="00F041AD">
        <w:rPr>
          <w:color w:val="333333" w:themeColor="background1"/>
          <w:u w:val="single"/>
        </w:rPr>
        <w:t xml:space="preserve"> Cities</w:t>
      </w:r>
      <w:r w:rsidRPr="00F041AD">
        <w:rPr>
          <w:color w:val="333333" w:themeColor="background1"/>
        </w:rPr>
        <w:t xml:space="preserve"> can </w:t>
      </w:r>
      <w:r w:rsidR="00840FDF" w:rsidRPr="00F041AD">
        <w:rPr>
          <w:color w:val="333333" w:themeColor="background1"/>
        </w:rPr>
        <w:t>provide technical assistance to communities interested in adoption of energy disclosure programs</w:t>
      </w:r>
      <w:r w:rsidRPr="00F041AD">
        <w:rPr>
          <w:color w:val="333333" w:themeColor="background1"/>
        </w:rPr>
        <w:t xml:space="preserve">. </w:t>
      </w:r>
    </w:p>
    <w:p w14:paraId="4C9DACBA"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u w:val="single"/>
        </w:rPr>
        <w:t>CEE</w:t>
      </w:r>
      <w:r w:rsidRPr="00F041AD">
        <w:rPr>
          <w:color w:val="333333" w:themeColor="background1"/>
        </w:rPr>
        <w:t xml:space="preserve"> can communicate lessons learned from the implementation of the City of Minneapolis’ commercial building rating and disclosure ordinance.</w:t>
      </w:r>
    </w:p>
    <w:p w14:paraId="57F83C9A" w14:textId="77777777" w:rsidR="00B65A50" w:rsidRPr="00F041AD" w:rsidRDefault="00B65A50" w:rsidP="00164A5A">
      <w:pPr>
        <w:pStyle w:val="5BodyText"/>
        <w:rPr>
          <w:color w:val="333333" w:themeColor="background1"/>
        </w:rPr>
      </w:pPr>
    </w:p>
    <w:p w14:paraId="6939C266" w14:textId="77777777" w:rsidR="00B65A50" w:rsidRPr="00F041AD" w:rsidRDefault="00B65A50" w:rsidP="00164A5A">
      <w:pPr>
        <w:pStyle w:val="5BodyText"/>
        <w:numPr>
          <w:ilvl w:val="0"/>
          <w:numId w:val="96"/>
        </w:numPr>
        <w:rPr>
          <w:b/>
          <w:i/>
          <w:color w:val="333333" w:themeColor="background1"/>
        </w:rPr>
      </w:pPr>
      <w:r w:rsidRPr="00F041AD">
        <w:rPr>
          <w:b/>
          <w:color w:val="333333" w:themeColor="background1"/>
        </w:rPr>
        <w:t>Support actions to save energy based on benchmarked and/or disclosed energy data.</w:t>
      </w:r>
      <w:r w:rsidRPr="00F041AD">
        <w:rPr>
          <w:b/>
          <w:i/>
          <w:color w:val="333333" w:themeColor="background1"/>
        </w:rPr>
        <w:t xml:space="preserve"> </w:t>
      </w:r>
      <w:r w:rsidRPr="00F041AD">
        <w:rPr>
          <w:color w:val="333333" w:themeColor="background1"/>
        </w:rPr>
        <w:t>Train building owners, operators, and funding providers to leverage benchmarked data to target investment in areas of greatest savings potential. Connect building owners with existing resources for operational and behavioral energy efficiency strategies and related funding opportunities.</w:t>
      </w:r>
    </w:p>
    <w:p w14:paraId="67E3B6D1" w14:textId="77777777" w:rsidR="00B65A50" w:rsidRPr="00F041AD" w:rsidRDefault="00B65A50" w:rsidP="00164A5A">
      <w:pPr>
        <w:pStyle w:val="5BodyText"/>
        <w:rPr>
          <w:color w:val="333333" w:themeColor="background1"/>
        </w:rPr>
      </w:pPr>
    </w:p>
    <w:p w14:paraId="25E9621E" w14:textId="77777777" w:rsidR="00B65A50" w:rsidRPr="00F041AD" w:rsidRDefault="00B65A50" w:rsidP="00164A5A">
      <w:pPr>
        <w:pStyle w:val="5BodyText"/>
        <w:ind w:left="720"/>
        <w:rPr>
          <w:color w:val="333333" w:themeColor="background1"/>
        </w:rPr>
      </w:pPr>
      <w:r w:rsidRPr="00F041AD">
        <w:rPr>
          <w:b/>
          <w:color w:val="333333" w:themeColor="background1"/>
        </w:rPr>
        <w:t>Champions/Key Participants</w:t>
      </w:r>
      <w:r w:rsidRPr="00F041AD">
        <w:rPr>
          <w:color w:val="333333" w:themeColor="background1"/>
        </w:rPr>
        <w:t xml:space="preserve">: </w:t>
      </w:r>
    </w:p>
    <w:p w14:paraId="5528CEA3" w14:textId="0225E777" w:rsidR="00B65A50" w:rsidRPr="00F041AD" w:rsidRDefault="00B65A50" w:rsidP="000034E1">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u w:val="single"/>
        </w:rPr>
        <w:t>MN Department of Commerce</w:t>
      </w:r>
      <w:r w:rsidRPr="00F041AD">
        <w:rPr>
          <w:color w:val="333333" w:themeColor="background1"/>
        </w:rPr>
        <w:t xml:space="preserve"> has several programs, including the Guaranteed Energy Savings Program (GESP) to provide support to public entities in acting on savings opportunities identified by benchmarking and disclosure activities.</w:t>
      </w:r>
      <w:r w:rsidRPr="00F041AD">
        <w:rPr>
          <w:color w:val="333333" w:themeColor="background1"/>
        </w:rPr>
        <w:br/>
      </w:r>
      <w:r w:rsidRPr="00F041AD">
        <w:rPr>
          <w:rFonts w:asciiTheme="majorHAnsi" w:hAnsiTheme="majorHAnsi"/>
          <w:color w:val="333333" w:themeColor="background1"/>
        </w:rPr>
        <w:t xml:space="preserve">- </w:t>
      </w:r>
      <w:r w:rsidRPr="00F041AD">
        <w:rPr>
          <w:color w:val="333333" w:themeColor="background1"/>
          <w:u w:val="single"/>
        </w:rPr>
        <w:t>USGBC-MN</w:t>
      </w:r>
      <w:r w:rsidRPr="00F041AD">
        <w:rPr>
          <w:color w:val="333333" w:themeColor="background1"/>
        </w:rPr>
        <w:t xml:space="preserve"> is currently seeking funding to provide in-person training to building operators.</w:t>
      </w:r>
    </w:p>
    <w:p w14:paraId="198C200E" w14:textId="77777777" w:rsidR="00B65A50" w:rsidRPr="00F041AD" w:rsidRDefault="00B65A50" w:rsidP="00164A5A">
      <w:pPr>
        <w:pStyle w:val="5BodyText"/>
        <w:rPr>
          <w:b/>
          <w:i/>
          <w:iCs/>
          <w:color w:val="333333" w:themeColor="background1"/>
        </w:rPr>
      </w:pPr>
    </w:p>
    <w:p w14:paraId="2FB68597" w14:textId="77777777" w:rsidR="00B65A50" w:rsidRPr="00F041AD" w:rsidRDefault="00B65A50" w:rsidP="00164A5A">
      <w:pPr>
        <w:pStyle w:val="5BodyText"/>
        <w:rPr>
          <w:i/>
          <w:iCs/>
          <w:color w:val="333333" w:themeColor="background1"/>
        </w:rPr>
      </w:pPr>
      <w:r w:rsidRPr="00F041AD">
        <w:rPr>
          <w:b/>
          <w:i/>
          <w:iCs/>
          <w:color w:val="333333" w:themeColor="background1"/>
        </w:rPr>
        <w:t>Success factors</w:t>
      </w:r>
    </w:p>
    <w:p w14:paraId="082FB6CB" w14:textId="77777777" w:rsidR="00B65A50" w:rsidRPr="00F041AD" w:rsidRDefault="00B65A50" w:rsidP="00164A5A">
      <w:pPr>
        <w:pStyle w:val="5BodyText"/>
        <w:numPr>
          <w:ilvl w:val="0"/>
          <w:numId w:val="97"/>
        </w:numPr>
        <w:rPr>
          <w:color w:val="333333" w:themeColor="background1"/>
        </w:rPr>
      </w:pPr>
      <w:r w:rsidRPr="00F041AD">
        <w:rPr>
          <w:b/>
          <w:color w:val="333333" w:themeColor="background1"/>
        </w:rPr>
        <w:t>Communities, tribal nations, and building owners understand the importance of building energy benchmarking and disclosure programs</w:t>
      </w:r>
      <w:r w:rsidRPr="00F041AD">
        <w:rPr>
          <w:color w:val="333333" w:themeColor="background1"/>
        </w:rPr>
        <w:t xml:space="preserve"> and champion their adoption.</w:t>
      </w:r>
      <w:r w:rsidRPr="00F041AD">
        <w:rPr>
          <w:color w:val="333333" w:themeColor="background1"/>
        </w:rPr>
        <w:br/>
      </w:r>
    </w:p>
    <w:p w14:paraId="2984416B" w14:textId="77777777" w:rsidR="00B65A50" w:rsidRPr="00F041AD" w:rsidRDefault="00B65A50" w:rsidP="00164A5A">
      <w:pPr>
        <w:pStyle w:val="5BodyText"/>
        <w:numPr>
          <w:ilvl w:val="0"/>
          <w:numId w:val="97"/>
        </w:numPr>
        <w:rPr>
          <w:color w:val="333333" w:themeColor="background1"/>
        </w:rPr>
      </w:pPr>
      <w:r w:rsidRPr="00F041AD">
        <w:rPr>
          <w:b/>
          <w:color w:val="333333" w:themeColor="background1"/>
        </w:rPr>
        <w:t>Building owners have access to at least one building benchmarking program</w:t>
      </w:r>
      <w:r w:rsidRPr="00F041AD">
        <w:rPr>
          <w:color w:val="333333" w:themeColor="background1"/>
        </w:rPr>
        <w:t xml:space="preserve"> and related training materials at low or no cost.</w:t>
      </w:r>
      <w:r w:rsidRPr="00F041AD">
        <w:rPr>
          <w:color w:val="333333" w:themeColor="background1"/>
        </w:rPr>
        <w:br/>
      </w:r>
    </w:p>
    <w:p w14:paraId="51CE7E23" w14:textId="77777777" w:rsidR="00B65A50" w:rsidRPr="00F041AD" w:rsidRDefault="00B65A50" w:rsidP="00164A5A">
      <w:pPr>
        <w:pStyle w:val="5BodyText"/>
        <w:numPr>
          <w:ilvl w:val="0"/>
          <w:numId w:val="97"/>
        </w:numPr>
        <w:rPr>
          <w:color w:val="333333" w:themeColor="background1"/>
        </w:rPr>
      </w:pPr>
      <w:r w:rsidRPr="00F041AD">
        <w:rPr>
          <w:b/>
          <w:color w:val="333333" w:themeColor="background1"/>
        </w:rPr>
        <w:t>Data entry into benchmarking programs requires minimal time and effort</w:t>
      </w:r>
      <w:r w:rsidRPr="00F041AD">
        <w:rPr>
          <w:color w:val="333333" w:themeColor="background1"/>
        </w:rPr>
        <w:t>. One way of achieving this is by promoting automated data transfer from utilities. Xcel Energy is piloting this through both Portfolio Manager and B3 Benchmarking.</w:t>
      </w:r>
      <w:r w:rsidRPr="00F041AD">
        <w:rPr>
          <w:color w:val="333333" w:themeColor="background1"/>
        </w:rPr>
        <w:br/>
      </w:r>
    </w:p>
    <w:p w14:paraId="79C9DD80" w14:textId="77777777" w:rsidR="00B65A50" w:rsidRPr="00F041AD" w:rsidRDefault="00B65A50" w:rsidP="00164A5A">
      <w:pPr>
        <w:pStyle w:val="5BodyText"/>
        <w:numPr>
          <w:ilvl w:val="0"/>
          <w:numId w:val="97"/>
        </w:numPr>
        <w:rPr>
          <w:b/>
          <w:color w:val="333333" w:themeColor="background1"/>
        </w:rPr>
      </w:pPr>
      <w:r w:rsidRPr="00F041AD">
        <w:rPr>
          <w:b/>
          <w:color w:val="333333" w:themeColor="background1"/>
        </w:rPr>
        <w:t>Building operators understand how to use benchmarking data to reduce energy use.</w:t>
      </w:r>
      <w:r w:rsidRPr="00F041AD">
        <w:rPr>
          <w:b/>
          <w:color w:val="333333" w:themeColor="background1"/>
        </w:rPr>
        <w:br/>
      </w:r>
    </w:p>
    <w:p w14:paraId="50438111" w14:textId="77777777" w:rsidR="00B65A50" w:rsidRPr="00F041AD" w:rsidRDefault="00B65A50" w:rsidP="00164A5A">
      <w:pPr>
        <w:pStyle w:val="5BodyText"/>
        <w:numPr>
          <w:ilvl w:val="0"/>
          <w:numId w:val="97"/>
        </w:numPr>
        <w:rPr>
          <w:color w:val="333333" w:themeColor="background1"/>
        </w:rPr>
      </w:pPr>
      <w:r w:rsidRPr="00F041AD">
        <w:rPr>
          <w:b/>
          <w:color w:val="333333" w:themeColor="background1"/>
        </w:rPr>
        <w:t>Benchmarking programs are well-integrated with other, existing efforts</w:t>
      </w:r>
      <w:r w:rsidRPr="00F041AD">
        <w:rPr>
          <w:color w:val="333333" w:themeColor="background1"/>
        </w:rPr>
        <w:t xml:space="preserve"> (e.g. utility programs) in order to avoid customer confusion and/or energy saving backsliding.</w:t>
      </w:r>
    </w:p>
    <w:p w14:paraId="48BB55E6" w14:textId="77777777" w:rsidR="00B65A50" w:rsidRPr="00F041AD" w:rsidRDefault="00B65A50" w:rsidP="00164A5A">
      <w:pPr>
        <w:pStyle w:val="5BodyText"/>
        <w:rPr>
          <w:color w:val="333333" w:themeColor="background1"/>
        </w:rPr>
      </w:pPr>
    </w:p>
    <w:p w14:paraId="55DB2189" w14:textId="77777777" w:rsidR="00B65A50" w:rsidRPr="00F041AD" w:rsidRDefault="00B65A50" w:rsidP="00164A5A">
      <w:pPr>
        <w:pStyle w:val="5BodyText"/>
        <w:rPr>
          <w:bCs/>
          <w:i/>
          <w:iCs/>
          <w:color w:val="333333" w:themeColor="background1"/>
        </w:rPr>
      </w:pPr>
      <w:r w:rsidRPr="00F041AD">
        <w:rPr>
          <w:b/>
          <w:bCs/>
          <w:i/>
          <w:iCs/>
          <w:color w:val="333333" w:themeColor="background1"/>
        </w:rPr>
        <w:t>Indicators of strategy success</w:t>
      </w:r>
    </w:p>
    <w:p w14:paraId="52A25B76" w14:textId="77777777" w:rsidR="00B65A50" w:rsidRPr="00F041AD" w:rsidRDefault="00B65A50" w:rsidP="00164A5A">
      <w:pPr>
        <w:pStyle w:val="5BodyText"/>
        <w:numPr>
          <w:ilvl w:val="0"/>
          <w:numId w:val="98"/>
        </w:numPr>
        <w:rPr>
          <w:color w:val="333333" w:themeColor="background1"/>
        </w:rPr>
      </w:pPr>
      <w:r w:rsidRPr="00F041AD">
        <w:rPr>
          <w:color w:val="333333" w:themeColor="background1"/>
        </w:rPr>
        <w:t>Number and square footage of Minnesota buildings in B3 Benchmarking and/or ENERGY STAR Portfolio Manager</w:t>
      </w:r>
    </w:p>
    <w:p w14:paraId="399B9DC7" w14:textId="77777777" w:rsidR="00B65A50" w:rsidRPr="00F041AD" w:rsidRDefault="00B65A50" w:rsidP="00164A5A">
      <w:pPr>
        <w:pStyle w:val="5BodyText"/>
        <w:numPr>
          <w:ilvl w:val="0"/>
          <w:numId w:val="98"/>
        </w:numPr>
        <w:rPr>
          <w:color w:val="333333" w:themeColor="background1"/>
        </w:rPr>
      </w:pPr>
      <w:r w:rsidRPr="00F041AD">
        <w:rPr>
          <w:color w:val="333333" w:themeColor="background1"/>
        </w:rPr>
        <w:t>Potential energy savings identified by B3 Benchmarking</w:t>
      </w:r>
    </w:p>
    <w:p w14:paraId="2200A1F4" w14:textId="77777777" w:rsidR="00B65A50" w:rsidRPr="00F041AD" w:rsidRDefault="00B65A50" w:rsidP="00164A5A">
      <w:pPr>
        <w:pStyle w:val="5BodyText"/>
        <w:numPr>
          <w:ilvl w:val="0"/>
          <w:numId w:val="98"/>
        </w:numPr>
        <w:rPr>
          <w:color w:val="333333" w:themeColor="background1"/>
        </w:rPr>
      </w:pPr>
      <w:r w:rsidRPr="00F041AD">
        <w:rPr>
          <w:color w:val="333333" w:themeColor="background1"/>
        </w:rPr>
        <w:t>Number of communities/tribal nations that have instituted commercial building energy disclosure ordinances</w:t>
      </w:r>
      <w:r w:rsidRPr="00F041AD">
        <w:rPr>
          <w:color w:val="333333" w:themeColor="background1"/>
        </w:rPr>
        <w:br/>
      </w:r>
    </w:p>
    <w:p w14:paraId="0D51CC22" w14:textId="77777777" w:rsidR="00B65A50" w:rsidRPr="00F041AD" w:rsidRDefault="00B65A50" w:rsidP="00164A5A">
      <w:pPr>
        <w:pStyle w:val="5BodyText"/>
        <w:rPr>
          <w:bCs/>
          <w:i/>
          <w:iCs/>
          <w:color w:val="333333" w:themeColor="background1"/>
        </w:rPr>
      </w:pPr>
      <w:r w:rsidRPr="00F041AD">
        <w:rPr>
          <w:b/>
          <w:bCs/>
          <w:i/>
          <w:iCs/>
          <w:color w:val="333333" w:themeColor="background1"/>
        </w:rPr>
        <w:t>Cross-sector opportunities and synergies</w:t>
      </w:r>
    </w:p>
    <w:p w14:paraId="1610FA90" w14:textId="77777777" w:rsidR="00B65A50" w:rsidRPr="00F041AD" w:rsidRDefault="00B65A50" w:rsidP="00164A5A">
      <w:pPr>
        <w:pStyle w:val="5BodyText"/>
        <w:numPr>
          <w:ilvl w:val="0"/>
          <w:numId w:val="99"/>
        </w:numPr>
        <w:rPr>
          <w:color w:val="333333" w:themeColor="background1"/>
        </w:rPr>
      </w:pPr>
      <w:r w:rsidRPr="00F041AD">
        <w:rPr>
          <w:b/>
          <w:color w:val="333333" w:themeColor="background1"/>
        </w:rPr>
        <w:t>Advanced metering infrastructure (AMI)</w:t>
      </w:r>
      <w:r w:rsidRPr="00F041AD">
        <w:rPr>
          <w:color w:val="333333" w:themeColor="background1"/>
        </w:rPr>
        <w:t xml:space="preserve"> facilitates automatic tracking of interval data.</w:t>
      </w:r>
    </w:p>
    <w:p w14:paraId="2469215C" w14:textId="1CC178B3" w:rsidR="00B65A50" w:rsidRPr="00F041AD" w:rsidRDefault="00B65A50" w:rsidP="00164A5A">
      <w:pPr>
        <w:pStyle w:val="5BodyText"/>
        <w:numPr>
          <w:ilvl w:val="0"/>
          <w:numId w:val="99"/>
        </w:numPr>
        <w:rPr>
          <w:color w:val="333333" w:themeColor="background1"/>
        </w:rPr>
      </w:pPr>
      <w:r w:rsidRPr="00F041AD">
        <w:rPr>
          <w:b/>
          <w:color w:val="333333" w:themeColor="background1"/>
        </w:rPr>
        <w:t>Local</w:t>
      </w:r>
      <w:r w:rsidR="004308E1">
        <w:rPr>
          <w:b/>
          <w:color w:val="333333" w:themeColor="background1"/>
        </w:rPr>
        <w:t xml:space="preserve"> governments</w:t>
      </w:r>
      <w:r w:rsidRPr="00F041AD">
        <w:rPr>
          <w:b/>
          <w:color w:val="333333" w:themeColor="background1"/>
        </w:rPr>
        <w:t xml:space="preserve"> and tribal </w:t>
      </w:r>
      <w:r w:rsidR="004308E1">
        <w:rPr>
          <w:b/>
          <w:color w:val="333333" w:themeColor="background1"/>
        </w:rPr>
        <w:t>nations</w:t>
      </w:r>
      <w:r w:rsidR="004308E1" w:rsidRPr="00F041AD">
        <w:rPr>
          <w:b/>
          <w:color w:val="333333" w:themeColor="background1"/>
        </w:rPr>
        <w:t xml:space="preserve"> </w:t>
      </w:r>
      <w:r w:rsidRPr="00F041AD">
        <w:rPr>
          <w:color w:val="333333" w:themeColor="background1"/>
        </w:rPr>
        <w:t>can take action to require benchmarking and/or disclosure from buildings within their jurisdiction.</w:t>
      </w:r>
    </w:p>
    <w:p w14:paraId="70317EFD" w14:textId="77777777" w:rsidR="00B65A50" w:rsidRPr="00F041AD" w:rsidRDefault="00B65A50" w:rsidP="00164A5A">
      <w:pPr>
        <w:pStyle w:val="5BodyText"/>
        <w:rPr>
          <w:color w:val="333333" w:themeColor="background1"/>
        </w:rPr>
      </w:pPr>
    </w:p>
    <w:p w14:paraId="35E1B56F" w14:textId="77777777" w:rsidR="00B65A50" w:rsidRPr="00F041AD" w:rsidRDefault="00B65A50" w:rsidP="00164A5A">
      <w:pPr>
        <w:pStyle w:val="5BodyText"/>
        <w:rPr>
          <w:bCs/>
          <w:i/>
          <w:color w:val="333333" w:themeColor="background1"/>
        </w:rPr>
      </w:pPr>
      <w:r w:rsidRPr="00F041AD">
        <w:rPr>
          <w:b/>
          <w:bCs/>
          <w:i/>
          <w:color w:val="333333" w:themeColor="background1"/>
        </w:rPr>
        <w:t>Ongoing Minnesota initiatives</w:t>
      </w:r>
    </w:p>
    <w:p w14:paraId="2EFA312D" w14:textId="77777777" w:rsidR="00B65A50" w:rsidRPr="00F041AD" w:rsidRDefault="00B65A50" w:rsidP="00164A5A">
      <w:pPr>
        <w:pStyle w:val="5BodyText"/>
        <w:numPr>
          <w:ilvl w:val="0"/>
          <w:numId w:val="100"/>
        </w:numPr>
        <w:rPr>
          <w:b/>
          <w:color w:val="333333" w:themeColor="background1"/>
        </w:rPr>
      </w:pPr>
      <w:r w:rsidRPr="00F041AD">
        <w:rPr>
          <w:color w:val="333333" w:themeColor="background1"/>
        </w:rPr>
        <w:t xml:space="preserve">Under the </w:t>
      </w:r>
      <w:hyperlink r:id="rId132">
        <w:r w:rsidRPr="00F041AD">
          <w:rPr>
            <w:color w:val="333333" w:themeColor="background1"/>
            <w:u w:val="single"/>
          </w:rPr>
          <w:t>State of Minnesota's B3 Benchmarking</w:t>
        </w:r>
      </w:hyperlink>
      <w:r w:rsidRPr="00F041AD">
        <w:rPr>
          <w:color w:val="333333" w:themeColor="background1"/>
        </w:rPr>
        <w:t xml:space="preserve"> program, over 8,000 public buildings track their energy use on this site and compare their performance to a code-based benchmark.</w:t>
      </w:r>
      <w:r w:rsidRPr="00F041AD">
        <w:rPr>
          <w:rStyle w:val="EndnoteReference"/>
          <w:color w:val="333333" w:themeColor="background1"/>
        </w:rPr>
        <w:endnoteReference w:id="190"/>
      </w:r>
    </w:p>
    <w:p w14:paraId="4F3D5A9F" w14:textId="77777777" w:rsidR="00B65A50" w:rsidRPr="00F041AD" w:rsidRDefault="00B65A50" w:rsidP="00164A5A">
      <w:pPr>
        <w:pStyle w:val="5BodyText"/>
        <w:rPr>
          <w:color w:val="333333" w:themeColor="background1"/>
        </w:rPr>
      </w:pPr>
    </w:p>
    <w:p w14:paraId="7FCA6657" w14:textId="77777777" w:rsidR="00B65A50" w:rsidRPr="00F041AD" w:rsidRDefault="00B65A50" w:rsidP="00164A5A">
      <w:pPr>
        <w:pStyle w:val="5BodyText"/>
        <w:numPr>
          <w:ilvl w:val="0"/>
          <w:numId w:val="100"/>
        </w:numPr>
        <w:rPr>
          <w:b/>
          <w:color w:val="333333" w:themeColor="background1"/>
        </w:rPr>
      </w:pPr>
      <w:r w:rsidRPr="00F041AD">
        <w:rPr>
          <w:color w:val="333333" w:themeColor="background1"/>
        </w:rPr>
        <w:t xml:space="preserve">The </w:t>
      </w:r>
      <w:hyperlink r:id="rId133">
        <w:r w:rsidRPr="00F041AD">
          <w:rPr>
            <w:color w:val="333333" w:themeColor="background1"/>
            <w:u w:val="single"/>
          </w:rPr>
          <w:t>City of Minneapolis commercial building rating and disclosure ordinance 47.190</w:t>
        </w:r>
      </w:hyperlink>
      <w:r w:rsidRPr="00F041AD">
        <w:rPr>
          <w:color w:val="333333" w:themeColor="background1"/>
        </w:rPr>
        <w:t xml:space="preserve"> requires commercial buildings above 50,000 square feet to report their energy use to the City.</w:t>
      </w:r>
      <w:r w:rsidRPr="00F041AD">
        <w:rPr>
          <w:rStyle w:val="EndnoteReference"/>
          <w:color w:val="333333" w:themeColor="background1"/>
        </w:rPr>
        <w:endnoteReference w:id="191"/>
      </w:r>
    </w:p>
    <w:p w14:paraId="12C51CFB" w14:textId="77777777" w:rsidR="00B65A50" w:rsidRPr="00F041AD" w:rsidRDefault="00B65A50" w:rsidP="00164A5A">
      <w:pPr>
        <w:pStyle w:val="5BodyText"/>
        <w:rPr>
          <w:color w:val="333333" w:themeColor="background1"/>
        </w:rPr>
      </w:pPr>
    </w:p>
    <w:p w14:paraId="2EF588F3" w14:textId="77777777" w:rsidR="00B65A50" w:rsidRPr="00F041AD" w:rsidRDefault="00B65A50" w:rsidP="00164A5A">
      <w:pPr>
        <w:pStyle w:val="5BodyText"/>
        <w:numPr>
          <w:ilvl w:val="0"/>
          <w:numId w:val="100"/>
        </w:numPr>
        <w:rPr>
          <w:b/>
          <w:color w:val="333333" w:themeColor="background1"/>
        </w:rPr>
      </w:pPr>
      <w:r w:rsidRPr="00F041AD">
        <w:rPr>
          <w:color w:val="333333" w:themeColor="background1"/>
        </w:rPr>
        <w:t xml:space="preserve">The </w:t>
      </w:r>
      <w:hyperlink r:id="rId134" w:history="1">
        <w:r w:rsidRPr="00F041AD">
          <w:rPr>
            <w:rStyle w:val="Hyperlink"/>
            <w:color w:val="333333" w:themeColor="background1"/>
          </w:rPr>
          <w:t>Minnesota ENERGY STAR® Challenge</w:t>
        </w:r>
      </w:hyperlink>
      <w:r w:rsidRPr="00F041AD">
        <w:rPr>
          <w:color w:val="333333" w:themeColor="background1"/>
        </w:rPr>
        <w:t xml:space="preserve"> provides participating building owners with free education and assistance regarding benchmarking, energy reduction strategies, and financing.</w:t>
      </w:r>
      <w:r w:rsidRPr="00F041AD">
        <w:rPr>
          <w:rStyle w:val="EndnoteReference"/>
          <w:color w:val="333333" w:themeColor="background1"/>
        </w:rPr>
        <w:endnoteReference w:id="192"/>
      </w:r>
    </w:p>
    <w:p w14:paraId="1C939BDC" w14:textId="77777777" w:rsidR="00B65A50" w:rsidRPr="00F041AD" w:rsidRDefault="006506BB" w:rsidP="00164A5A">
      <w:pPr>
        <w:pStyle w:val="5BodyText"/>
        <w:numPr>
          <w:ilvl w:val="0"/>
          <w:numId w:val="100"/>
        </w:numPr>
        <w:rPr>
          <w:b/>
          <w:color w:val="333333" w:themeColor="background1"/>
        </w:rPr>
      </w:pPr>
      <w:hyperlink r:id="rId135">
        <w:r w:rsidR="00B65A50" w:rsidRPr="00F041AD">
          <w:rPr>
            <w:color w:val="333333" w:themeColor="background1"/>
            <w:u w:val="single"/>
          </w:rPr>
          <w:t>12-1344</w:t>
        </w:r>
      </w:hyperlink>
      <w:r w:rsidR="00B65A50" w:rsidRPr="00F041AD">
        <w:rPr>
          <w:color w:val="333333" w:themeColor="background1"/>
        </w:rPr>
        <w:t xml:space="preserve"> Energy Data Access/Data Privacy docket</w:t>
      </w:r>
    </w:p>
    <w:p w14:paraId="65CF08A2" w14:textId="77777777" w:rsidR="00B65A50" w:rsidRPr="00F041AD" w:rsidRDefault="00B65A50" w:rsidP="00164A5A">
      <w:pPr>
        <w:pStyle w:val="5BodyText"/>
        <w:ind w:left="720"/>
        <w:rPr>
          <w:b/>
          <w:color w:val="333333" w:themeColor="background1"/>
        </w:rPr>
      </w:pPr>
    </w:p>
    <w:p w14:paraId="528B1427" w14:textId="77777777" w:rsidR="00B65A50" w:rsidRPr="00F041AD" w:rsidRDefault="00B65A50" w:rsidP="00164A5A">
      <w:pPr>
        <w:pStyle w:val="5BodyText"/>
        <w:numPr>
          <w:ilvl w:val="0"/>
          <w:numId w:val="100"/>
        </w:numPr>
        <w:rPr>
          <w:b/>
          <w:color w:val="333333" w:themeColor="background1"/>
        </w:rPr>
      </w:pPr>
      <w:r w:rsidRPr="00F041AD">
        <w:rPr>
          <w:color w:val="333333" w:themeColor="background1"/>
        </w:rPr>
        <w:t xml:space="preserve">Minneapolis is partnering with Xcel on the Department of Energy's Better Buildings Initiative </w:t>
      </w:r>
      <w:hyperlink r:id="rId136">
        <w:r w:rsidRPr="00F041AD">
          <w:rPr>
            <w:color w:val="333333" w:themeColor="background1"/>
            <w:u w:val="single"/>
          </w:rPr>
          <w:t>Energy Data Accelerator</w:t>
        </w:r>
      </w:hyperlink>
      <w:r w:rsidRPr="00F041AD">
        <w:rPr>
          <w:color w:val="333333" w:themeColor="background1"/>
        </w:rPr>
        <w:t xml:space="preserve"> to facilitate better access to energy usage data. (</w:t>
      </w:r>
      <w:hyperlink r:id="rId137">
        <w:r w:rsidRPr="00F041AD">
          <w:rPr>
            <w:color w:val="333333" w:themeColor="background1"/>
            <w:u w:val="single"/>
          </w:rPr>
          <w:t>ACEEE</w:t>
        </w:r>
      </w:hyperlink>
      <w:r w:rsidRPr="00F041AD">
        <w:rPr>
          <w:color w:val="333333" w:themeColor="background1"/>
        </w:rPr>
        <w:t>)</w:t>
      </w:r>
    </w:p>
    <w:p w14:paraId="3C910C30" w14:textId="77777777" w:rsidR="00B65A50" w:rsidRPr="00F041AD" w:rsidRDefault="00B65A50" w:rsidP="00164A5A">
      <w:pPr>
        <w:pStyle w:val="5BodyText"/>
        <w:rPr>
          <w:b/>
          <w:color w:val="333333" w:themeColor="background1"/>
        </w:rPr>
      </w:pPr>
    </w:p>
    <w:p w14:paraId="238D561F" w14:textId="77777777" w:rsidR="00B65A50" w:rsidRPr="00F041AD" w:rsidRDefault="00B65A50" w:rsidP="00164A5A">
      <w:pPr>
        <w:pStyle w:val="5BodyText"/>
        <w:numPr>
          <w:ilvl w:val="0"/>
          <w:numId w:val="100"/>
        </w:numPr>
        <w:rPr>
          <w:color w:val="333333" w:themeColor="background1"/>
        </w:rPr>
      </w:pPr>
      <w:r w:rsidRPr="00F041AD">
        <w:rPr>
          <w:color w:val="333333" w:themeColor="background1"/>
        </w:rPr>
        <w:t xml:space="preserve">This strategy does not address data ownership or privacy, instead deferring to the open </w:t>
      </w:r>
      <w:hyperlink r:id="rId138" w:history="1">
        <w:r w:rsidRPr="00F041AD">
          <w:rPr>
            <w:rStyle w:val="Hyperlink"/>
            <w:color w:val="333333" w:themeColor="background1"/>
          </w:rPr>
          <w:t>PUC Customer Data Privacy proceeding</w:t>
        </w:r>
      </w:hyperlink>
      <w:r w:rsidRPr="00F041AD">
        <w:rPr>
          <w:color w:val="333333" w:themeColor="background1"/>
        </w:rPr>
        <w:t xml:space="preserve"> (docket 12-1344) for a ruling on who can access energy usage data.</w:t>
      </w:r>
      <w:r w:rsidRPr="00F041AD">
        <w:rPr>
          <w:rStyle w:val="EndnoteReference"/>
          <w:color w:val="333333" w:themeColor="background1"/>
        </w:rPr>
        <w:endnoteReference w:id="193"/>
      </w:r>
      <w:r w:rsidRPr="00F041AD">
        <w:rPr>
          <w:color w:val="333333" w:themeColor="background1"/>
        </w:rPr>
        <w:t xml:space="preserve"> </w:t>
      </w:r>
    </w:p>
    <w:p w14:paraId="002D9E16" w14:textId="77777777" w:rsidR="00B65A50" w:rsidRPr="00F041AD" w:rsidRDefault="00B65A50" w:rsidP="00164A5A">
      <w:pPr>
        <w:pStyle w:val="5BodyText"/>
        <w:rPr>
          <w:b/>
          <w:color w:val="333333" w:themeColor="background1"/>
        </w:rPr>
      </w:pPr>
    </w:p>
    <w:p w14:paraId="711655A8" w14:textId="77777777" w:rsidR="00B65A50" w:rsidRPr="00F041AD" w:rsidRDefault="006506BB" w:rsidP="00164A5A">
      <w:pPr>
        <w:pStyle w:val="5BodyText"/>
        <w:numPr>
          <w:ilvl w:val="0"/>
          <w:numId w:val="100"/>
        </w:numPr>
        <w:rPr>
          <w:b/>
          <w:color w:val="333333" w:themeColor="background1"/>
        </w:rPr>
      </w:pPr>
      <w:hyperlink r:id="rId139" w:history="1">
        <w:r w:rsidR="00B65A50" w:rsidRPr="00F041AD">
          <w:rPr>
            <w:rStyle w:val="Hyperlink"/>
            <w:color w:val="333333" w:themeColor="background1"/>
            <w:highlight w:val="white"/>
          </w:rPr>
          <w:t>Minneapolis is partnering with Xcel</w:t>
        </w:r>
      </w:hyperlink>
      <w:r w:rsidR="00B65A50" w:rsidRPr="00F041AD">
        <w:rPr>
          <w:color w:val="333333" w:themeColor="background1"/>
          <w:highlight w:val="white"/>
        </w:rPr>
        <w:t xml:space="preserve"> on the Department of Energy's Better Buildings Initiative </w:t>
      </w:r>
      <w:hyperlink r:id="rId140">
        <w:r w:rsidR="00B65A50" w:rsidRPr="00F041AD">
          <w:rPr>
            <w:color w:val="333333" w:themeColor="background1"/>
            <w:highlight w:val="white"/>
            <w:u w:val="single"/>
          </w:rPr>
          <w:t>Energy Data Accelerator</w:t>
        </w:r>
      </w:hyperlink>
      <w:r w:rsidR="00B65A50" w:rsidRPr="00F041AD">
        <w:rPr>
          <w:color w:val="333333" w:themeColor="background1"/>
          <w:highlight w:val="white"/>
        </w:rPr>
        <w:t xml:space="preserve"> to facilitate better access to energy usage data.</w:t>
      </w:r>
      <w:r w:rsidR="00B65A50" w:rsidRPr="00F041AD">
        <w:rPr>
          <w:rStyle w:val="EndnoteReference"/>
          <w:color w:val="333333" w:themeColor="background1"/>
          <w:highlight w:val="white"/>
        </w:rPr>
        <w:endnoteReference w:id="194"/>
      </w:r>
      <w:r w:rsidR="00B65A50" w:rsidRPr="00F041AD">
        <w:rPr>
          <w:rStyle w:val="EndnoteReference"/>
          <w:color w:val="333333" w:themeColor="background1"/>
          <w:highlight w:val="white"/>
        </w:rPr>
        <w:endnoteReference w:id="195"/>
      </w:r>
    </w:p>
    <w:p w14:paraId="00E0F98F" w14:textId="77777777" w:rsidR="00B65A50" w:rsidRPr="00F041AD" w:rsidRDefault="00B65A50" w:rsidP="00164A5A">
      <w:pPr>
        <w:pStyle w:val="5BodyText"/>
        <w:rPr>
          <w:b/>
          <w:color w:val="333333" w:themeColor="background1"/>
        </w:rPr>
      </w:pPr>
    </w:p>
    <w:p w14:paraId="51D297A0" w14:textId="77777777" w:rsidR="00B65A50" w:rsidRPr="00F041AD" w:rsidRDefault="00B65A50" w:rsidP="00164A5A">
      <w:pPr>
        <w:pStyle w:val="5BodyText"/>
        <w:numPr>
          <w:ilvl w:val="0"/>
          <w:numId w:val="100"/>
        </w:numPr>
        <w:rPr>
          <w:b/>
          <w:color w:val="333333" w:themeColor="background1"/>
        </w:rPr>
      </w:pPr>
      <w:r w:rsidRPr="00F041AD">
        <w:rPr>
          <w:color w:val="333333" w:themeColor="background1"/>
        </w:rPr>
        <w:t xml:space="preserve">Xcel offers a Benchmarking Portal for automatic energy data transfer to Energy Star Portfolio Manager as part of a </w:t>
      </w:r>
      <w:hyperlink r:id="rId141" w:history="1">
        <w:r w:rsidRPr="00F041AD">
          <w:rPr>
            <w:rStyle w:val="Hyperlink"/>
            <w:color w:val="333333" w:themeColor="background1"/>
          </w:rPr>
          <w:t>CIP pilot</w:t>
        </w:r>
      </w:hyperlink>
      <w:r w:rsidRPr="00F041AD">
        <w:rPr>
          <w:color w:val="333333" w:themeColor="background1"/>
        </w:rPr>
        <w:t>.</w:t>
      </w:r>
      <w:r w:rsidRPr="00F041AD">
        <w:rPr>
          <w:rStyle w:val="EndnoteReference"/>
          <w:color w:val="333333" w:themeColor="background1"/>
        </w:rPr>
        <w:endnoteReference w:id="196"/>
      </w:r>
      <w:r w:rsidRPr="00F041AD">
        <w:rPr>
          <w:color w:val="333333" w:themeColor="background1"/>
        </w:rPr>
        <w:t xml:space="preserve"> </w:t>
      </w:r>
    </w:p>
    <w:p w14:paraId="170FA334" w14:textId="77777777" w:rsidR="00B65A50" w:rsidRPr="00F041AD" w:rsidRDefault="00B65A50" w:rsidP="00164A5A">
      <w:pPr>
        <w:pStyle w:val="5BodyText"/>
        <w:rPr>
          <w:color w:val="333333" w:themeColor="background1"/>
        </w:rPr>
      </w:pPr>
    </w:p>
    <w:p w14:paraId="4DF4CB2C" w14:textId="77777777" w:rsidR="00B65A50" w:rsidRPr="00F041AD" w:rsidRDefault="00B65A50" w:rsidP="00164A5A">
      <w:pPr>
        <w:pStyle w:val="5BodyText"/>
        <w:rPr>
          <w:bCs/>
          <w:i/>
          <w:iCs/>
          <w:color w:val="333333" w:themeColor="background1"/>
        </w:rPr>
      </w:pPr>
      <w:r w:rsidRPr="00F041AD">
        <w:rPr>
          <w:b/>
          <w:bCs/>
          <w:i/>
          <w:iCs/>
          <w:color w:val="333333" w:themeColor="background1"/>
        </w:rPr>
        <w:t>Other related resources</w:t>
      </w:r>
    </w:p>
    <w:p w14:paraId="43232330" w14:textId="77777777" w:rsidR="00B65A50" w:rsidRPr="00F041AD" w:rsidRDefault="00B65A50" w:rsidP="00164A5A">
      <w:pPr>
        <w:pStyle w:val="5BodyText"/>
        <w:numPr>
          <w:ilvl w:val="0"/>
          <w:numId w:val="101"/>
        </w:numPr>
        <w:rPr>
          <w:color w:val="333333" w:themeColor="background1"/>
        </w:rPr>
      </w:pPr>
      <w:r w:rsidRPr="00F041AD">
        <w:rPr>
          <w:color w:val="333333" w:themeColor="background1"/>
        </w:rPr>
        <w:t xml:space="preserve">The </w:t>
      </w:r>
      <w:hyperlink r:id="rId142" w:history="1">
        <w:r w:rsidRPr="00F041AD">
          <w:rPr>
            <w:rStyle w:val="Hyperlink"/>
            <w:color w:val="333333" w:themeColor="background1"/>
          </w:rPr>
          <w:t>Building Energy Asset Score</w:t>
        </w:r>
      </w:hyperlink>
      <w:r w:rsidRPr="00F041AD">
        <w:rPr>
          <w:color w:val="333333" w:themeColor="background1"/>
        </w:rPr>
        <w:t xml:space="preserve"> is a nationally used tool to benchmark energy efficiency, provided by the US Department of Energy.</w:t>
      </w:r>
      <w:r w:rsidRPr="00F041AD">
        <w:rPr>
          <w:rStyle w:val="EndnoteReference"/>
          <w:color w:val="333333" w:themeColor="background1"/>
        </w:rPr>
        <w:endnoteReference w:id="197"/>
      </w:r>
      <w:r w:rsidRPr="00F041AD">
        <w:rPr>
          <w:color w:val="333333" w:themeColor="background1"/>
        </w:rPr>
        <w:t xml:space="preserve"> </w:t>
      </w:r>
    </w:p>
    <w:p w14:paraId="3609B7DD" w14:textId="77777777" w:rsidR="00B65A50" w:rsidRPr="00F041AD" w:rsidRDefault="006506BB" w:rsidP="00164A5A">
      <w:pPr>
        <w:pStyle w:val="5BodyText"/>
        <w:numPr>
          <w:ilvl w:val="0"/>
          <w:numId w:val="101"/>
        </w:numPr>
        <w:rPr>
          <w:b/>
          <w:color w:val="333333" w:themeColor="background1"/>
        </w:rPr>
      </w:pPr>
      <w:hyperlink r:id="rId143">
        <w:r w:rsidR="00B65A50" w:rsidRPr="00F041AD">
          <w:rPr>
            <w:color w:val="333333" w:themeColor="background1"/>
            <w:u w:val="single"/>
          </w:rPr>
          <w:t>Integrating Benchmarking into Utility Conservation Improvement Programs to Capture Greater Energy Savings</w:t>
        </w:r>
      </w:hyperlink>
      <w:r w:rsidR="00B65A50" w:rsidRPr="00F041AD">
        <w:rPr>
          <w:color w:val="333333" w:themeColor="background1"/>
        </w:rPr>
        <w:t xml:space="preserve">, prepared by </w:t>
      </w:r>
      <w:proofErr w:type="spellStart"/>
      <w:r w:rsidR="00B65A50" w:rsidRPr="00F041AD">
        <w:rPr>
          <w:color w:val="333333" w:themeColor="background1"/>
        </w:rPr>
        <w:t>Weidt</w:t>
      </w:r>
      <w:proofErr w:type="spellEnd"/>
      <w:r w:rsidR="00B65A50" w:rsidRPr="00F041AD">
        <w:rPr>
          <w:color w:val="333333" w:themeColor="background1"/>
        </w:rPr>
        <w:t xml:space="preserve"> Group for MN Department of Commerce, August 2014</w:t>
      </w:r>
    </w:p>
    <w:p w14:paraId="2DDF6171" w14:textId="77777777" w:rsidR="00B65A50" w:rsidRPr="00F041AD" w:rsidRDefault="00B65A50" w:rsidP="00164A5A">
      <w:pPr>
        <w:pStyle w:val="5BodyText"/>
        <w:rPr>
          <w:color w:val="333333" w:themeColor="background1"/>
        </w:rPr>
      </w:pPr>
    </w:p>
    <w:p w14:paraId="26818B73" w14:textId="21778908" w:rsidR="00B65A50" w:rsidRPr="00F041AD" w:rsidRDefault="00725676" w:rsidP="004C45CB">
      <w:pPr>
        <w:pStyle w:val="StrategyName"/>
      </w:pPr>
      <w:bookmarkStart w:id="209" w:name="h.206ipza" w:colFirst="0" w:colLast="0"/>
      <w:bookmarkStart w:id="210" w:name="_Toc322961645"/>
      <w:bookmarkStart w:id="211" w:name="_Toc322962046"/>
      <w:bookmarkStart w:id="212" w:name="_Toc322962233"/>
      <w:bookmarkStart w:id="213" w:name="_Toc317317602"/>
      <w:bookmarkStart w:id="214" w:name="_Toc318126177"/>
      <w:bookmarkStart w:id="215" w:name="_Toc319794282"/>
      <w:bookmarkEnd w:id="209"/>
      <w:r>
        <w:t>C4</w:t>
      </w:r>
      <w:r w:rsidR="00B65A50" w:rsidRPr="00F041AD">
        <w:t>. Improve building operations to capture energy efficiency opportunities</w:t>
      </w:r>
      <w:bookmarkEnd w:id="210"/>
      <w:bookmarkEnd w:id="211"/>
      <w:bookmarkEnd w:id="212"/>
    </w:p>
    <w:bookmarkEnd w:id="213"/>
    <w:bookmarkEnd w:id="214"/>
    <w:bookmarkEnd w:id="215"/>
    <w:p w14:paraId="52CF809C" w14:textId="77777777" w:rsidR="00B65A50" w:rsidRPr="00F041AD" w:rsidRDefault="00B65A50" w:rsidP="00164A5A">
      <w:pPr>
        <w:pStyle w:val="5BodyText"/>
        <w:rPr>
          <w:b/>
          <w:color w:val="333333" w:themeColor="background1"/>
        </w:rPr>
      </w:pPr>
    </w:p>
    <w:p w14:paraId="7D85C599" w14:textId="77777777" w:rsidR="00B65A50" w:rsidRPr="00F041AD" w:rsidRDefault="00B65A50" w:rsidP="00164A5A">
      <w:pPr>
        <w:pStyle w:val="5BodyText"/>
        <w:rPr>
          <w:i/>
          <w:iCs/>
          <w:color w:val="333333" w:themeColor="background1"/>
        </w:rPr>
      </w:pPr>
      <w:r w:rsidRPr="00F041AD">
        <w:rPr>
          <w:b/>
          <w:i/>
          <w:iCs/>
          <w:color w:val="333333" w:themeColor="background1"/>
        </w:rPr>
        <w:t>Strategy overview</w:t>
      </w:r>
    </w:p>
    <w:p w14:paraId="0FFA7220" w14:textId="77777777" w:rsidR="00B65A50" w:rsidRPr="00F041AD" w:rsidRDefault="00B65A50" w:rsidP="00164A5A">
      <w:pPr>
        <w:pStyle w:val="5BodyText"/>
        <w:rPr>
          <w:color w:val="333333" w:themeColor="background1"/>
        </w:rPr>
      </w:pPr>
      <w:r w:rsidRPr="00F041AD">
        <w:rPr>
          <w:color w:val="333333" w:themeColor="background1"/>
        </w:rPr>
        <w:t>Even when buildings are designed to be energy efficient, many do not operate to their full efficiency potential, leaving 10 to 20 percent of available energy savings on the table, according to industry studies.</w:t>
      </w:r>
      <w:r w:rsidRPr="00F041AD">
        <w:rPr>
          <w:rStyle w:val="EndnoteReference"/>
          <w:rFonts w:asciiTheme="minorHAnsi" w:hAnsiTheme="minorHAnsi"/>
          <w:color w:val="333333" w:themeColor="background1"/>
        </w:rPr>
        <w:endnoteReference w:id="198"/>
      </w:r>
      <w:r w:rsidRPr="00F041AD">
        <w:rPr>
          <w:color w:val="333333" w:themeColor="background1"/>
        </w:rPr>
        <w:t xml:space="preserve"> This strategy identifies how building owners and operators can ensure that buildings operate to optimize energy efficiency.</w:t>
      </w:r>
    </w:p>
    <w:p w14:paraId="15F8ECB3" w14:textId="77777777" w:rsidR="00B65A50" w:rsidRPr="00F041AD" w:rsidRDefault="00B65A50" w:rsidP="00164A5A">
      <w:pPr>
        <w:pStyle w:val="5BodyText"/>
        <w:rPr>
          <w:color w:val="333333" w:themeColor="background1"/>
        </w:rPr>
      </w:pPr>
    </w:p>
    <w:p w14:paraId="099D55EA" w14:textId="77777777" w:rsidR="00B65A50" w:rsidRPr="00F041AD" w:rsidRDefault="00B65A50" w:rsidP="00164A5A">
      <w:pPr>
        <w:pStyle w:val="5BodyText"/>
        <w:rPr>
          <w:color w:val="333333" w:themeColor="background1"/>
        </w:rPr>
      </w:pPr>
      <w:r w:rsidRPr="00F041AD">
        <w:rPr>
          <w:color w:val="333333" w:themeColor="background1"/>
        </w:rPr>
        <w:t xml:space="preserve">First and foremost, building operators are critically important in ensuring that commercial buildings are operating as efficiently as designed. However, a large percentage of the building operator workforce in Minnesota is expected to retire in the coming decade. This presents both a challenge and an opportunity to ensure that new building operators are well trained and able to take full advantage of technology innovation.  </w:t>
      </w:r>
    </w:p>
    <w:p w14:paraId="73F59F09" w14:textId="77777777" w:rsidR="00B65A50" w:rsidRPr="00F041AD" w:rsidRDefault="00B65A50" w:rsidP="00164A5A">
      <w:pPr>
        <w:pStyle w:val="5BodyText"/>
        <w:rPr>
          <w:color w:val="333333" w:themeColor="background1"/>
        </w:rPr>
      </w:pPr>
    </w:p>
    <w:p w14:paraId="30E322D8" w14:textId="7D86F3FA" w:rsidR="00B65A50" w:rsidRPr="00F041AD" w:rsidRDefault="00B65A50" w:rsidP="00164A5A">
      <w:pPr>
        <w:pStyle w:val="5BodyText"/>
        <w:rPr>
          <w:color w:val="333333" w:themeColor="background1"/>
        </w:rPr>
      </w:pPr>
      <w:r w:rsidRPr="00F041AD">
        <w:rPr>
          <w:color w:val="333333" w:themeColor="background1"/>
        </w:rPr>
        <w:t xml:space="preserve">Second, it is critical to ensure that existing buildings continue to operate correctly over time through retro-commissioning and ongoing commissioning. These approaches involve making operational and maintenance improvements in existing buildings to ensure performance. </w:t>
      </w:r>
      <w:r w:rsidR="00BD1650">
        <w:rPr>
          <w:color w:val="333333" w:themeColor="background1"/>
        </w:rPr>
        <w:t>Several notable projects in Minnesota have achieved significant savings using these approaches.</w:t>
      </w:r>
      <w:r w:rsidR="00BD1650">
        <w:rPr>
          <w:rStyle w:val="FootnoteReference"/>
          <w:color w:val="333333" w:themeColor="background1"/>
        </w:rPr>
        <w:footnoteReference w:id="2"/>
      </w:r>
      <w:r w:rsidR="00BD1650">
        <w:rPr>
          <w:color w:val="333333" w:themeColor="background1"/>
        </w:rPr>
        <w:t xml:space="preserve"> </w:t>
      </w:r>
      <w:r w:rsidRPr="00F041AD">
        <w:rPr>
          <w:color w:val="333333" w:themeColor="background1"/>
        </w:rPr>
        <w:t>Resources for retro-commissioning and ongoing commissioning should be widely available to commercial building owners and operators through utility and state programs.</w:t>
      </w:r>
    </w:p>
    <w:p w14:paraId="14BC74A4" w14:textId="77777777" w:rsidR="00B65A50" w:rsidRPr="00F041AD" w:rsidRDefault="00B65A50" w:rsidP="00164A5A">
      <w:pPr>
        <w:pStyle w:val="5BodyText"/>
        <w:rPr>
          <w:color w:val="333333" w:themeColor="background1"/>
        </w:rPr>
      </w:pPr>
    </w:p>
    <w:p w14:paraId="1CD36596" w14:textId="02D4B1E4" w:rsidR="00B65A50" w:rsidRPr="00F041AD" w:rsidRDefault="00B65A50" w:rsidP="00164A5A">
      <w:pPr>
        <w:pStyle w:val="5BodyText"/>
        <w:rPr>
          <w:color w:val="333333" w:themeColor="background1"/>
        </w:rPr>
      </w:pPr>
      <w:r w:rsidRPr="00F041AD">
        <w:rPr>
          <w:color w:val="333333" w:themeColor="background1"/>
        </w:rPr>
        <w:t>Finally, new building controls are emerging that can aid building owners and operators in capturing greater energy savings. Technology developers, utilities, and building owners and operators can partner to implement enhanced building controls and demonstrate potential savings.</w:t>
      </w:r>
    </w:p>
    <w:p w14:paraId="5BECF20B" w14:textId="77777777" w:rsidR="000034E1" w:rsidRPr="00F041AD" w:rsidRDefault="000034E1" w:rsidP="00164A5A">
      <w:pPr>
        <w:pStyle w:val="5BodyText"/>
        <w:rPr>
          <w:color w:val="333333" w:themeColor="background1"/>
        </w:rPr>
      </w:pPr>
    </w:p>
    <w:p w14:paraId="70CF1156" w14:textId="77777777" w:rsidR="00B65A50" w:rsidRPr="00F041AD" w:rsidRDefault="00B65A50" w:rsidP="00164A5A">
      <w:pPr>
        <w:pStyle w:val="5BodyText"/>
        <w:rPr>
          <w:bCs/>
          <w:i/>
          <w:iCs/>
          <w:color w:val="333333" w:themeColor="background1"/>
        </w:rPr>
      </w:pPr>
      <w:r w:rsidRPr="00F041AD">
        <w:rPr>
          <w:b/>
          <w:bCs/>
          <w:i/>
          <w:iCs/>
          <w:color w:val="333333" w:themeColor="background1"/>
        </w:rPr>
        <w:t>Specific actions for strategy implementation</w:t>
      </w:r>
    </w:p>
    <w:p w14:paraId="52D8F82B" w14:textId="6930F1EE" w:rsidR="00B65A50" w:rsidRPr="00F041AD" w:rsidRDefault="00B65A50" w:rsidP="00164A5A">
      <w:pPr>
        <w:pStyle w:val="5BodyText"/>
        <w:numPr>
          <w:ilvl w:val="0"/>
          <w:numId w:val="102"/>
        </w:numPr>
        <w:rPr>
          <w:b/>
          <w:i/>
          <w:color w:val="333333" w:themeColor="background1"/>
        </w:rPr>
      </w:pPr>
      <w:r w:rsidRPr="00F041AD">
        <w:rPr>
          <w:b/>
          <w:color w:val="333333" w:themeColor="background1"/>
        </w:rPr>
        <w:t>Promote existing building operator training, providers, and resources.</w:t>
      </w:r>
      <w:r w:rsidRPr="00F041AD">
        <w:rPr>
          <w:b/>
          <w:i/>
          <w:color w:val="333333" w:themeColor="background1"/>
        </w:rPr>
        <w:t xml:space="preserve"> </w:t>
      </w:r>
      <w:r w:rsidRPr="00F041AD">
        <w:rPr>
          <w:color w:val="333333" w:themeColor="background1"/>
        </w:rPr>
        <w:br/>
        <w:t xml:space="preserve">High quality building operator training programs can provide access to tools and best practices for </w:t>
      </w:r>
      <w:r w:rsidRPr="00F041AD">
        <w:rPr>
          <w:color w:val="333333" w:themeColor="background1"/>
        </w:rPr>
        <w:lastRenderedPageBreak/>
        <w:t xml:space="preserve">operating buildings efficiently. Utilities, existing building operators, unions, and commercial building owners can partner with training programs, to ensure that all building operators, and particularly new operators, are sufficiently trained in efficient operations and maintenance. </w:t>
      </w:r>
    </w:p>
    <w:p w14:paraId="68B5610F" w14:textId="3B5216DB" w:rsidR="00B65A50" w:rsidRPr="00F041AD" w:rsidRDefault="00B65A50" w:rsidP="00164A5A">
      <w:pPr>
        <w:pStyle w:val="5BodyText"/>
        <w:rPr>
          <w:b/>
          <w:i/>
          <w:color w:val="333333" w:themeColor="background1"/>
        </w:rPr>
      </w:pPr>
    </w:p>
    <w:p w14:paraId="11597BAE" w14:textId="1FC5F344" w:rsidR="00B65A50" w:rsidRPr="00F041AD" w:rsidRDefault="004F6D8A" w:rsidP="00164A5A">
      <w:pPr>
        <w:pStyle w:val="5BodyText"/>
        <w:ind w:left="720"/>
        <w:rPr>
          <w:b/>
          <w:color w:val="333333" w:themeColor="background1"/>
        </w:rPr>
      </w:pPr>
      <w:r w:rsidRPr="00F041AD">
        <w:rPr>
          <w:b/>
          <w:noProof/>
          <w:color w:val="333333" w:themeColor="background1"/>
          <w:lang w:eastAsia="en-US"/>
        </w:rPr>
        <mc:AlternateContent>
          <mc:Choice Requires="wps">
            <w:drawing>
              <wp:anchor distT="0" distB="0" distL="114300" distR="114300" simplePos="0" relativeHeight="251699200" behindDoc="0" locked="0" layoutInCell="1" allowOverlap="1" wp14:anchorId="47E66726" wp14:editId="08123107">
                <wp:simplePos x="0" y="0"/>
                <wp:positionH relativeFrom="column">
                  <wp:posOffset>3877945</wp:posOffset>
                </wp:positionH>
                <wp:positionV relativeFrom="paragraph">
                  <wp:posOffset>208915</wp:posOffset>
                </wp:positionV>
                <wp:extent cx="2345690" cy="2567940"/>
                <wp:effectExtent l="0" t="0" r="16510" b="22860"/>
                <wp:wrapSquare wrapText="bothSides"/>
                <wp:docPr id="17" name="Text Box 17"/>
                <wp:cNvGraphicFramePr/>
                <a:graphic xmlns:a="http://schemas.openxmlformats.org/drawingml/2006/main">
                  <a:graphicData uri="http://schemas.microsoft.com/office/word/2010/wordprocessingShape">
                    <wps:wsp>
                      <wps:cNvSpPr txBox="1"/>
                      <wps:spPr>
                        <a:xfrm>
                          <a:off x="0" y="0"/>
                          <a:ext cx="2345690" cy="2567940"/>
                        </a:xfrm>
                        <a:prstGeom prst="rect">
                          <a:avLst/>
                        </a:prstGeom>
                        <a:noFill/>
                        <a:ln>
                          <a:solidFill>
                            <a:srgbClr val="004B6B"/>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F1AFB1" w14:textId="77777777" w:rsidR="006506BB" w:rsidRPr="00516A0A" w:rsidRDefault="006506BB" w:rsidP="00164A5A">
                            <w:pPr>
                              <w:pStyle w:val="5BodyText"/>
                              <w:rPr>
                                <w:b/>
                                <w:i/>
                                <w:szCs w:val="20"/>
                              </w:rPr>
                            </w:pPr>
                            <w:r w:rsidRPr="000034E1">
                              <w:rPr>
                                <w:b/>
                                <w:color w:val="004B6B" w:themeColor="accent1"/>
                                <w:szCs w:val="20"/>
                              </w:rPr>
                              <w:t>The Building Operator Certification ® (BOC)</w:t>
                            </w:r>
                            <w:r w:rsidRPr="000034E1">
                              <w:rPr>
                                <w:color w:val="004B6B" w:themeColor="accent1"/>
                                <w:szCs w:val="20"/>
                              </w:rPr>
                              <w:t xml:space="preserve"> </w:t>
                            </w:r>
                            <w:r w:rsidRPr="000034E1">
                              <w:rPr>
                                <w:b/>
                                <w:color w:val="004B6B" w:themeColor="accent1"/>
                                <w:szCs w:val="20"/>
                              </w:rPr>
                              <w:t>Program</w:t>
                            </w:r>
                            <w:r w:rsidRPr="00516A0A">
                              <w:rPr>
                                <w:szCs w:val="20"/>
                              </w:rPr>
                              <w:t xml:space="preserve"> through the Midwest Energy Efficiency Alliance is a nationally recognized program that trains building operators in efficient operations and preventative maintenance. BOC ® has certified 11,000 building operators nationwide and over 600 building operators in Minnesota with potential for growth in the state. </w:t>
                            </w:r>
                            <w:r w:rsidRPr="00516A0A">
                              <w:rPr>
                                <w:rStyle w:val="CommentReference"/>
                                <w:szCs w:val="20"/>
                              </w:rPr>
                              <w:t/>
                            </w:r>
                          </w:p>
                          <w:p w14:paraId="7CEDEA85" w14:textId="77777777" w:rsidR="006506BB" w:rsidRDefault="006506BB" w:rsidP="00164A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7" type="#_x0000_t202" style="position:absolute;left:0;text-align:left;margin-left:305.35pt;margin-top:16.45pt;width:184.7pt;height:20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" filled="f" strokecolor="#004b6b">
                <v:textbox>
                  <w:txbxContent>
                    <w:p w14:paraId="32F1AFB1" w14:textId="77777777" w:rsidR="006506BB" w:rsidRPr="00516A0A" w:rsidRDefault="006506BB" w:rsidP="00164A5A">
                      <w:pPr>
                        <w:pStyle w:val="5BodyText"/>
                        <w:rPr>
                          <w:b/>
                          <w:i/>
                          <w:szCs w:val="20"/>
                        </w:rPr>
                      </w:pPr>
                      <w:r w:rsidRPr="000034E1">
                        <w:rPr>
                          <w:b/>
                          <w:color w:val="004B6B" w:themeColor="accent1"/>
                          <w:szCs w:val="20"/>
                        </w:rPr>
                        <w:t>The Building Operator Certification ® (BOC)</w:t>
                      </w:r>
                      <w:r w:rsidRPr="000034E1">
                        <w:rPr>
                          <w:color w:val="004B6B" w:themeColor="accent1"/>
                          <w:szCs w:val="20"/>
                        </w:rPr>
                        <w:t xml:space="preserve"> </w:t>
                      </w:r>
                      <w:r w:rsidRPr="000034E1">
                        <w:rPr>
                          <w:b/>
                          <w:color w:val="004B6B" w:themeColor="accent1"/>
                          <w:szCs w:val="20"/>
                        </w:rPr>
                        <w:t>Program</w:t>
                      </w:r>
                      <w:r w:rsidRPr="00516A0A">
                        <w:rPr>
                          <w:szCs w:val="20"/>
                        </w:rPr>
                        <w:t xml:space="preserve"> through the Midwest Energy Efficiency Alliance is a nationally recognized program that trains building operators in efficient operations and preventative maintenance. BOC ® has certified 11,000 building operators nationwide and over 600 building operators in Minnesota with potential for growth in the state. </w:t>
                      </w:r>
                      <w:r w:rsidRPr="00516A0A">
                        <w:rPr>
                          <w:rStyle w:val="CommentReference"/>
                          <w:szCs w:val="20"/>
                        </w:rPr>
                        <w:t/>
                      </w:r>
                    </w:p>
                    <w:p w14:paraId="7CEDEA85" w14:textId="77777777" w:rsidR="006506BB" w:rsidRDefault="006506BB" w:rsidP="00164A5A"/>
                  </w:txbxContent>
                </v:textbox>
                <w10:wrap type="square"/>
              </v:shape>
            </w:pict>
          </mc:Fallback>
        </mc:AlternateContent>
      </w:r>
      <w:r w:rsidR="00B65A50" w:rsidRPr="00F041AD">
        <w:rPr>
          <w:b/>
          <w:color w:val="333333" w:themeColor="background1"/>
        </w:rPr>
        <w:t xml:space="preserve">Champions/Key Participants:  </w:t>
      </w:r>
    </w:p>
    <w:p w14:paraId="30EA8606" w14:textId="5BA68EED"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u w:val="single"/>
        </w:rPr>
        <w:t>Midwest Energy Efficiency Alliance</w:t>
      </w:r>
      <w:r w:rsidRPr="00F041AD">
        <w:rPr>
          <w:color w:val="333333" w:themeColor="background1"/>
        </w:rPr>
        <w:t xml:space="preserve"> offers training and </w:t>
      </w:r>
      <w:hyperlink r:id="rId144" w:history="1">
        <w:r w:rsidRPr="00F041AD">
          <w:rPr>
            <w:rStyle w:val="Hyperlink"/>
            <w:color w:val="333333" w:themeColor="background1"/>
          </w:rPr>
          <w:t>partners</w:t>
        </w:r>
      </w:hyperlink>
      <w:r w:rsidRPr="00F041AD">
        <w:rPr>
          <w:color w:val="333333" w:themeColor="background1"/>
        </w:rPr>
        <w:t xml:space="preserve"> with utilities who sponsor tuition rebates for customers that successfully complete Building Operator Certification ® (BOC) training; participating utilities include: </w:t>
      </w:r>
    </w:p>
    <w:p w14:paraId="3024566B" w14:textId="77777777" w:rsidR="00B65A50" w:rsidRPr="00F041AD" w:rsidRDefault="00B65A50" w:rsidP="004F6D8A">
      <w:pPr>
        <w:pStyle w:val="5BodyText"/>
        <w:ind w:left="144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Minnesota Power,</w:t>
      </w:r>
    </w:p>
    <w:p w14:paraId="7D141039" w14:textId="77777777" w:rsidR="00B65A50" w:rsidRPr="00F041AD" w:rsidRDefault="00B65A50" w:rsidP="000B746F">
      <w:pPr>
        <w:pStyle w:val="5BodyText"/>
        <w:ind w:left="144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Minnesota Energy Resources,</w:t>
      </w:r>
    </w:p>
    <w:p w14:paraId="05BF543F" w14:textId="77777777" w:rsidR="00B65A50" w:rsidRPr="00F041AD" w:rsidRDefault="00B65A50" w:rsidP="000B746F">
      <w:pPr>
        <w:pStyle w:val="5BodyText"/>
        <w:ind w:left="144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 xml:space="preserve">Austin Utilities, </w:t>
      </w:r>
    </w:p>
    <w:p w14:paraId="180F99FB" w14:textId="77777777" w:rsidR="00B65A50" w:rsidRPr="00F041AD" w:rsidRDefault="00B65A50" w:rsidP="000B746F">
      <w:pPr>
        <w:pStyle w:val="5BodyText"/>
        <w:ind w:left="144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 xml:space="preserve">Owatonna Public Utilities, </w:t>
      </w:r>
    </w:p>
    <w:p w14:paraId="2992E24A" w14:textId="77777777" w:rsidR="00B65A50" w:rsidRPr="00F041AD" w:rsidRDefault="00B65A50" w:rsidP="000B746F">
      <w:pPr>
        <w:pStyle w:val="5BodyText"/>
        <w:ind w:left="144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 xml:space="preserve">Rochester Public Utilities, </w:t>
      </w:r>
    </w:p>
    <w:p w14:paraId="02FFFBE4" w14:textId="77777777" w:rsidR="00B65A50" w:rsidRPr="00F041AD" w:rsidRDefault="00B65A50" w:rsidP="000B746F">
      <w:pPr>
        <w:pStyle w:val="5BodyText"/>
        <w:ind w:left="144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Otter Tail Power Company, and</w:t>
      </w:r>
    </w:p>
    <w:p w14:paraId="316F067D" w14:textId="77777777" w:rsidR="00B65A50" w:rsidRPr="00F041AD" w:rsidRDefault="00B65A50" w:rsidP="001F63F9">
      <w:pPr>
        <w:pStyle w:val="5BodyText"/>
        <w:ind w:left="144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 xml:space="preserve">Missouri River Energy Services. </w:t>
      </w:r>
    </w:p>
    <w:p w14:paraId="0B58A6C8" w14:textId="77777777" w:rsidR="00B65A50" w:rsidRPr="00F041AD" w:rsidRDefault="00B65A50" w:rsidP="001F63F9">
      <w:pPr>
        <w:pStyle w:val="5BodyText"/>
        <w:ind w:left="720"/>
        <w:rPr>
          <w:color w:val="333333" w:themeColor="background1"/>
          <w:u w:val="single"/>
        </w:rPr>
      </w:pPr>
      <w:r w:rsidRPr="00F041AD">
        <w:rPr>
          <w:rFonts w:asciiTheme="majorHAnsi" w:hAnsiTheme="majorHAnsi"/>
          <w:color w:val="333333" w:themeColor="background1"/>
        </w:rPr>
        <w:t xml:space="preserve">- </w:t>
      </w:r>
      <w:hyperlink r:id="rId145" w:history="1">
        <w:proofErr w:type="spellStart"/>
        <w:r w:rsidRPr="00F041AD">
          <w:rPr>
            <w:rStyle w:val="Hyperlink"/>
            <w:color w:val="333333" w:themeColor="background1"/>
          </w:rPr>
          <w:t>Seventhwave</w:t>
        </w:r>
        <w:proofErr w:type="spellEnd"/>
      </w:hyperlink>
      <w:r w:rsidRPr="00F041AD">
        <w:rPr>
          <w:color w:val="333333" w:themeColor="background1"/>
        </w:rPr>
        <w:t xml:space="preserve"> offers in person and online training on energy efficient best practices for a range of building types and equipment.</w:t>
      </w:r>
    </w:p>
    <w:p w14:paraId="63030811" w14:textId="77777777" w:rsidR="00B65A50" w:rsidRPr="00F041AD" w:rsidRDefault="00B65A50" w:rsidP="001F63F9">
      <w:pPr>
        <w:pStyle w:val="5BodyText"/>
        <w:ind w:left="720"/>
        <w:rPr>
          <w:color w:val="333333" w:themeColor="background1"/>
          <w:u w:val="single"/>
        </w:rPr>
      </w:pPr>
      <w:r w:rsidRPr="00F041AD">
        <w:rPr>
          <w:rFonts w:asciiTheme="majorHAnsi" w:hAnsiTheme="majorHAnsi"/>
          <w:color w:val="333333" w:themeColor="background1"/>
        </w:rPr>
        <w:t xml:space="preserve">- </w:t>
      </w:r>
      <w:hyperlink r:id="rId146" w:history="1">
        <w:r w:rsidRPr="00F041AD">
          <w:rPr>
            <w:rStyle w:val="Hyperlink"/>
            <w:color w:val="333333" w:themeColor="background1"/>
          </w:rPr>
          <w:t>ASHRAE</w:t>
        </w:r>
      </w:hyperlink>
      <w:r w:rsidRPr="00F041AD">
        <w:rPr>
          <w:color w:val="333333" w:themeColor="background1"/>
        </w:rPr>
        <w:t xml:space="preserve"> offers a variety of in person and online professional development courses targeted toward enhanced building operation.</w:t>
      </w:r>
    </w:p>
    <w:p w14:paraId="065963F9" w14:textId="77777777" w:rsidR="00B65A50" w:rsidRPr="00F041AD" w:rsidRDefault="00B65A50" w:rsidP="001F63F9">
      <w:pPr>
        <w:pStyle w:val="5BodyText"/>
        <w:ind w:left="720"/>
        <w:rPr>
          <w:color w:val="333333" w:themeColor="background1"/>
          <w:u w:val="single"/>
        </w:rPr>
      </w:pPr>
      <w:r w:rsidRPr="00F041AD">
        <w:rPr>
          <w:rFonts w:asciiTheme="majorHAnsi" w:hAnsiTheme="majorHAnsi"/>
          <w:color w:val="333333" w:themeColor="background1"/>
        </w:rPr>
        <w:t xml:space="preserve">- </w:t>
      </w:r>
      <w:hyperlink r:id="rId147" w:history="1">
        <w:r w:rsidRPr="00F041AD">
          <w:rPr>
            <w:rStyle w:val="Hyperlink"/>
            <w:color w:val="333333" w:themeColor="background1"/>
          </w:rPr>
          <w:t>US Green Building Council, MN Chapter</w:t>
        </w:r>
      </w:hyperlink>
      <w:r w:rsidRPr="00F041AD">
        <w:rPr>
          <w:color w:val="333333" w:themeColor="background1"/>
        </w:rPr>
        <w:t xml:space="preserve"> lists ongoing training opportunities for members.</w:t>
      </w:r>
    </w:p>
    <w:p w14:paraId="2E5CFB3C" w14:textId="77777777" w:rsidR="00B65A50" w:rsidRPr="00F041AD" w:rsidRDefault="00B65A50" w:rsidP="001F63F9">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u w:val="single"/>
        </w:rPr>
        <w:t>CSBR and Herzog/Wheeler</w:t>
      </w:r>
      <w:r w:rsidRPr="00F041AD">
        <w:rPr>
          <w:color w:val="333333" w:themeColor="background1"/>
        </w:rPr>
        <w:t xml:space="preserve">: </w:t>
      </w:r>
      <w:hyperlink r:id="rId148" w:history="1">
        <w:r w:rsidRPr="00F041AD">
          <w:rPr>
            <w:rStyle w:val="Hyperlink"/>
            <w:color w:val="333333" w:themeColor="background1"/>
          </w:rPr>
          <w:t>Minnesota Training Plan for Building Designers and Operators</w:t>
        </w:r>
      </w:hyperlink>
      <w:r w:rsidRPr="00F041AD">
        <w:rPr>
          <w:color w:val="333333" w:themeColor="background1"/>
        </w:rPr>
        <w:t>, completed by CSBR and Herzog/Wheeler for MN Department of Commerce, October 2010</w:t>
      </w:r>
    </w:p>
    <w:p w14:paraId="401EF3FB" w14:textId="77777777" w:rsidR="00B65A50" w:rsidRPr="00F041AD" w:rsidRDefault="00B65A50" w:rsidP="00164A5A">
      <w:pPr>
        <w:pStyle w:val="5BodyText"/>
        <w:rPr>
          <w:color w:val="333333" w:themeColor="background1"/>
        </w:rPr>
      </w:pPr>
    </w:p>
    <w:p w14:paraId="7E82AD16" w14:textId="77777777" w:rsidR="00B65A50" w:rsidRPr="00F041AD" w:rsidRDefault="00B65A50" w:rsidP="00164A5A">
      <w:pPr>
        <w:pStyle w:val="5BodyText"/>
        <w:numPr>
          <w:ilvl w:val="0"/>
          <w:numId w:val="102"/>
        </w:numPr>
        <w:rPr>
          <w:b/>
          <w:i/>
          <w:color w:val="333333" w:themeColor="background1"/>
        </w:rPr>
      </w:pPr>
      <w:r w:rsidRPr="00F041AD">
        <w:rPr>
          <w:b/>
          <w:color w:val="333333" w:themeColor="background1"/>
        </w:rPr>
        <w:t>Ensure that retro-commissioning and ongoing commissioning resources are available.</w:t>
      </w:r>
      <w:r w:rsidRPr="00F041AD">
        <w:rPr>
          <w:b/>
          <w:i/>
          <w:color w:val="333333" w:themeColor="background1"/>
        </w:rPr>
        <w:br/>
      </w:r>
      <w:r w:rsidRPr="00F041AD">
        <w:rPr>
          <w:color w:val="333333" w:themeColor="background1"/>
        </w:rPr>
        <w:t>Retro-commissioning and on-going commissioning are processes to ensure that existing buildings perform the way they were intended to. These processes can reveal, for example, that thermostats or sensors are not calibrated correctly, or that equipment is left on when it should not be. Studies show that retro-commissioning can result in up to 15 percent energy savings, with a payback period of 0.2 to 2.1 years.</w:t>
      </w:r>
      <w:r w:rsidRPr="00F041AD">
        <w:rPr>
          <w:rStyle w:val="EndnoteReference"/>
          <w:color w:val="333333" w:themeColor="background1"/>
        </w:rPr>
        <w:endnoteReference w:id="199"/>
      </w:r>
      <w:r w:rsidRPr="00F041AD">
        <w:rPr>
          <w:color w:val="333333" w:themeColor="background1"/>
        </w:rPr>
        <w:t xml:space="preserve"> </w:t>
      </w:r>
      <w:r w:rsidRPr="00F041AD">
        <w:rPr>
          <w:rStyle w:val="EndnoteReference"/>
          <w:color w:val="333333" w:themeColor="background1"/>
        </w:rPr>
        <w:endnoteReference w:id="200"/>
      </w:r>
      <w:r w:rsidRPr="00F041AD">
        <w:rPr>
          <w:color w:val="333333" w:themeColor="background1"/>
        </w:rPr>
        <w:t xml:space="preserve"> </w:t>
      </w:r>
      <w:r w:rsidRPr="00F041AD">
        <w:rPr>
          <w:rStyle w:val="EndnoteReference"/>
          <w:color w:val="333333" w:themeColor="background1"/>
        </w:rPr>
        <w:endnoteReference w:id="201"/>
      </w:r>
      <w:r w:rsidRPr="00F041AD">
        <w:rPr>
          <w:color w:val="333333" w:themeColor="background1"/>
        </w:rPr>
        <w:br/>
      </w:r>
      <w:r w:rsidRPr="00F041AD">
        <w:rPr>
          <w:color w:val="333333" w:themeColor="background1"/>
        </w:rPr>
        <w:br/>
        <w:t>To access these savings broadly in Minnesota, it is necessary to improve outreach to commercial building owners and operators on available resources.</w:t>
      </w:r>
    </w:p>
    <w:p w14:paraId="76371B14" w14:textId="77777777" w:rsidR="00B65A50" w:rsidRPr="00F041AD" w:rsidRDefault="00B65A50" w:rsidP="00164A5A">
      <w:pPr>
        <w:pStyle w:val="5BodyText"/>
        <w:rPr>
          <w:color w:val="333333" w:themeColor="background1"/>
        </w:rPr>
      </w:pPr>
    </w:p>
    <w:p w14:paraId="3B16B24C" w14:textId="77777777" w:rsidR="00B65A50" w:rsidRPr="00F041AD" w:rsidRDefault="00B65A50" w:rsidP="00164A5A">
      <w:pPr>
        <w:pStyle w:val="5BodyText"/>
        <w:ind w:left="720"/>
        <w:rPr>
          <w:color w:val="333333" w:themeColor="background1"/>
        </w:rPr>
      </w:pPr>
      <w:r w:rsidRPr="00F041AD">
        <w:rPr>
          <w:b/>
          <w:color w:val="333333" w:themeColor="background1"/>
        </w:rPr>
        <w:t>Champions/Key Participants</w:t>
      </w:r>
      <w:r w:rsidRPr="00F041AD">
        <w:rPr>
          <w:color w:val="333333" w:themeColor="background1"/>
        </w:rPr>
        <w:t xml:space="preserve">: </w:t>
      </w:r>
    </w:p>
    <w:p w14:paraId="70C2D3F7"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lastRenderedPageBreak/>
        <w:t xml:space="preserve">- </w:t>
      </w:r>
      <w:r w:rsidRPr="00F041AD">
        <w:rPr>
          <w:color w:val="333333" w:themeColor="background1"/>
          <w:u w:val="single"/>
        </w:rPr>
        <w:t>Minnesota Department of Commerce</w:t>
      </w:r>
      <w:r w:rsidRPr="00F041AD">
        <w:rPr>
          <w:color w:val="333333" w:themeColor="background1"/>
        </w:rPr>
        <w:t xml:space="preserve"> has several programs, including the Guaranteed Energy Savings Program (GESP), </w:t>
      </w:r>
      <w:proofErr w:type="spellStart"/>
      <w:r w:rsidRPr="00F041AD">
        <w:rPr>
          <w:color w:val="333333" w:themeColor="background1"/>
        </w:rPr>
        <w:t>RevItUp</w:t>
      </w:r>
      <w:proofErr w:type="spellEnd"/>
      <w:r w:rsidRPr="00F041AD">
        <w:rPr>
          <w:color w:val="333333" w:themeColor="background1"/>
        </w:rPr>
        <w:t xml:space="preserve">, and LEEP, to provide support for efficiency measures including building commissioning. </w:t>
      </w:r>
    </w:p>
    <w:p w14:paraId="7D4A9A12"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u w:val="single"/>
        </w:rPr>
        <w:t>SB 2030 Team</w:t>
      </w:r>
      <w:r w:rsidRPr="00F041AD">
        <w:rPr>
          <w:color w:val="333333" w:themeColor="background1"/>
        </w:rPr>
        <w:t xml:space="preserve"> (especially CSBR and Herzog Wheeler &amp; Associates) can continue developing the </w:t>
      </w:r>
      <w:hyperlink r:id="rId149" w:history="1">
        <w:r w:rsidRPr="00F041AD">
          <w:rPr>
            <w:rStyle w:val="Hyperlink"/>
            <w:color w:val="333333" w:themeColor="background1"/>
          </w:rPr>
          <w:t>B3 / SB 2030 Energy Efficient Operations Manual (B3 EEOM)</w:t>
        </w:r>
      </w:hyperlink>
      <w:r w:rsidRPr="00F041AD">
        <w:rPr>
          <w:color w:val="333333" w:themeColor="background1"/>
        </w:rPr>
        <w:t xml:space="preserve">, a web-based on-going commissioning tool  </w:t>
      </w:r>
    </w:p>
    <w:p w14:paraId="3205A1BF"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u w:val="single"/>
        </w:rPr>
        <w:t>Commercial building owners and associations</w:t>
      </w:r>
      <w:r w:rsidRPr="00F041AD">
        <w:rPr>
          <w:color w:val="333333" w:themeColor="background1"/>
        </w:rPr>
        <w:t xml:space="preserve"> can share information with members about building commissioning resources. </w:t>
      </w:r>
    </w:p>
    <w:p w14:paraId="1D1AE3F2"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Electric and Gas utilities may provide rebates and other program resources for building commissioning as part of their Conservation Improvement Programs.</w:t>
      </w:r>
    </w:p>
    <w:p w14:paraId="2BA7804D" w14:textId="77777777" w:rsidR="00B65A50" w:rsidRPr="00F041AD" w:rsidRDefault="00B65A50" w:rsidP="00164A5A">
      <w:pPr>
        <w:pStyle w:val="5BodyText"/>
        <w:rPr>
          <w:color w:val="333333" w:themeColor="background1"/>
        </w:rPr>
      </w:pPr>
    </w:p>
    <w:p w14:paraId="53F1C517" w14:textId="2F171EAD" w:rsidR="00B65A50" w:rsidRPr="00F041AD" w:rsidRDefault="00B65A50" w:rsidP="00164A5A">
      <w:pPr>
        <w:pStyle w:val="5BodyText"/>
        <w:numPr>
          <w:ilvl w:val="0"/>
          <w:numId w:val="102"/>
        </w:numPr>
        <w:rPr>
          <w:b/>
          <w:i/>
          <w:color w:val="333333" w:themeColor="background1"/>
        </w:rPr>
      </w:pPr>
      <w:r w:rsidRPr="00F041AD">
        <w:rPr>
          <w:b/>
          <w:color w:val="333333" w:themeColor="background1"/>
        </w:rPr>
        <w:t>Encourage cost-effective adoption of enhanced building controls.</w:t>
      </w:r>
      <w:r w:rsidRPr="00F041AD">
        <w:rPr>
          <w:b/>
          <w:i/>
          <w:color w:val="333333" w:themeColor="background1"/>
        </w:rPr>
        <w:br/>
      </w:r>
      <w:r w:rsidRPr="00F041AD">
        <w:rPr>
          <w:color w:val="333333" w:themeColor="background1"/>
        </w:rPr>
        <w:t>Building controls are becoming increasingly automated and intelligent. For example, sensors can detect occupancy in rooms and adjust the temperature and lighting accordingly, connected thermostats can adjust indoor temperature based on weather conditions</w:t>
      </w:r>
      <w:r w:rsidR="00BD1650">
        <w:rPr>
          <w:color w:val="333333" w:themeColor="background1"/>
        </w:rPr>
        <w:t>,</w:t>
      </w:r>
      <w:r w:rsidRPr="00F041AD">
        <w:rPr>
          <w:rStyle w:val="EndnoteReference"/>
          <w:color w:val="333333" w:themeColor="background1"/>
        </w:rPr>
        <w:endnoteReference w:id="202"/>
      </w:r>
      <w:r w:rsidRPr="00F041AD">
        <w:rPr>
          <w:color w:val="333333" w:themeColor="background1"/>
        </w:rPr>
        <w:t xml:space="preserve"> and advanced controls can dim lights to balance available natural lighting.</w:t>
      </w:r>
      <w:r w:rsidR="00BD1650">
        <w:rPr>
          <w:rStyle w:val="EndnoteReference"/>
          <w:color w:val="333333" w:themeColor="background1"/>
        </w:rPr>
        <w:endnoteReference w:id="203"/>
      </w:r>
      <w:r w:rsidRPr="00F041AD">
        <w:rPr>
          <w:color w:val="333333" w:themeColor="background1"/>
        </w:rPr>
        <w:t xml:space="preserve"> Other new technologies offer the opportunity to incorporate utility signals such as demand charges into building operations.</w:t>
      </w:r>
      <w:r w:rsidRPr="00F041AD">
        <w:rPr>
          <w:color w:val="333333" w:themeColor="background1"/>
        </w:rPr>
        <w:br/>
      </w:r>
      <w:r w:rsidRPr="00F041AD">
        <w:rPr>
          <w:color w:val="333333" w:themeColor="background1"/>
        </w:rPr>
        <w:br/>
        <w:t>To encourage adoption, key stakeholders can develop partnerships and pilots to improve understanding of available technologies, applications, and potential savings. Other new technologies offer the opportunity to incorporate utility signals such as demand charges into building operations.</w:t>
      </w:r>
      <w:r w:rsidRPr="00F041AD">
        <w:rPr>
          <w:color w:val="333333" w:themeColor="background1"/>
        </w:rPr>
        <w:br/>
      </w:r>
      <w:r w:rsidRPr="00F041AD">
        <w:rPr>
          <w:color w:val="333333" w:themeColor="background1"/>
        </w:rPr>
        <w:br/>
        <w:t>To encourage adoption, key stakeholders can develop partnerships and pilots to improve understanding of available technologies, applications, and potential savings</w:t>
      </w:r>
      <w:r w:rsidRPr="00F041AD">
        <w:rPr>
          <w:b/>
          <w:i/>
          <w:color w:val="333333" w:themeColor="background1"/>
        </w:rPr>
        <w:t xml:space="preserve">. </w:t>
      </w:r>
      <w:r w:rsidRPr="00F041AD">
        <w:rPr>
          <w:color w:val="333333" w:themeColor="background1"/>
        </w:rPr>
        <w:t>Federal resources and funding opportunities can enhance partnerships, pilots, and implementation.</w:t>
      </w:r>
    </w:p>
    <w:p w14:paraId="7D22E941" w14:textId="77777777" w:rsidR="00B65A50" w:rsidRPr="00F041AD" w:rsidRDefault="00B65A50" w:rsidP="00164A5A">
      <w:pPr>
        <w:pStyle w:val="5BodyText"/>
        <w:rPr>
          <w:color w:val="333333" w:themeColor="background1"/>
        </w:rPr>
      </w:pPr>
    </w:p>
    <w:p w14:paraId="3F5B6404" w14:textId="77777777" w:rsidR="00B65A50" w:rsidRPr="00F041AD" w:rsidRDefault="00B65A50" w:rsidP="00164A5A">
      <w:pPr>
        <w:pStyle w:val="5BodyText"/>
        <w:ind w:left="720"/>
        <w:rPr>
          <w:color w:val="333333" w:themeColor="background1"/>
        </w:rPr>
      </w:pPr>
      <w:r w:rsidRPr="00F041AD">
        <w:rPr>
          <w:b/>
          <w:color w:val="333333" w:themeColor="background1"/>
        </w:rPr>
        <w:t>Champions / Key Participants:</w:t>
      </w:r>
      <w:r w:rsidRPr="00F041AD">
        <w:rPr>
          <w:color w:val="333333" w:themeColor="background1"/>
        </w:rPr>
        <w:t xml:space="preserve"> </w:t>
      </w:r>
    </w:p>
    <w:p w14:paraId="3018BB9B"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Honeywell</w:t>
      </w:r>
    </w:p>
    <w:p w14:paraId="3FE1EE18"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Siemens</w:t>
      </w:r>
    </w:p>
    <w:p w14:paraId="5977DED1"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Great River Energy</w:t>
      </w:r>
    </w:p>
    <w:p w14:paraId="66ABD86E"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Xcel</w:t>
      </w:r>
    </w:p>
    <w:p w14:paraId="699AF25D"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Minnesota Power</w:t>
      </w:r>
    </w:p>
    <w:p w14:paraId="7850C408"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Energy Design Conference</w:t>
      </w:r>
    </w:p>
    <w:p w14:paraId="4D7D5679"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University of Minnesota</w:t>
      </w:r>
    </w:p>
    <w:p w14:paraId="5C6B4BA1"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Minnesota Technical Assistance Partnership (</w:t>
      </w:r>
      <w:proofErr w:type="spellStart"/>
      <w:r w:rsidRPr="00F041AD">
        <w:rPr>
          <w:color w:val="333333" w:themeColor="background1"/>
        </w:rPr>
        <w:t>MnTAP</w:t>
      </w:r>
      <w:proofErr w:type="spellEnd"/>
      <w:r w:rsidRPr="00F041AD">
        <w:rPr>
          <w:color w:val="333333" w:themeColor="background1"/>
        </w:rPr>
        <w:t>)</w:t>
      </w:r>
    </w:p>
    <w:p w14:paraId="1B413A01"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Clean Energy Resource Teams (CERTs)</w:t>
      </w:r>
    </w:p>
    <w:p w14:paraId="305AFC06" w14:textId="77777777" w:rsidR="00B65A50" w:rsidRPr="00F041AD" w:rsidRDefault="00B65A50" w:rsidP="00164A5A">
      <w:pPr>
        <w:pStyle w:val="5BodyText"/>
        <w:ind w:left="720"/>
        <w:rPr>
          <w:b/>
          <w:color w:val="333333" w:themeColor="background1"/>
        </w:rPr>
      </w:pPr>
      <w:r w:rsidRPr="00F041AD">
        <w:rPr>
          <w:rFonts w:asciiTheme="majorHAnsi" w:hAnsiTheme="majorHAnsi"/>
          <w:color w:val="333333" w:themeColor="background1"/>
        </w:rPr>
        <w:t xml:space="preserve">- U.S. Department of Energy </w:t>
      </w:r>
    </w:p>
    <w:p w14:paraId="2D834CD8" w14:textId="77777777" w:rsidR="00B65A50" w:rsidRPr="00F041AD" w:rsidRDefault="00B65A50" w:rsidP="00164A5A">
      <w:pPr>
        <w:pStyle w:val="5BodyText"/>
        <w:rPr>
          <w:color w:val="333333" w:themeColor="background1"/>
        </w:rPr>
      </w:pPr>
    </w:p>
    <w:p w14:paraId="2127CC11" w14:textId="77777777" w:rsidR="00B65A50" w:rsidRPr="00F041AD" w:rsidRDefault="00B65A50" w:rsidP="00164A5A">
      <w:pPr>
        <w:pStyle w:val="5BodyText"/>
        <w:rPr>
          <w:bCs/>
          <w:i/>
          <w:iCs/>
          <w:color w:val="333333" w:themeColor="background1"/>
        </w:rPr>
      </w:pPr>
      <w:r w:rsidRPr="00F041AD">
        <w:rPr>
          <w:b/>
          <w:bCs/>
          <w:i/>
          <w:iCs/>
          <w:color w:val="333333" w:themeColor="background1"/>
        </w:rPr>
        <w:t>Success factors</w:t>
      </w:r>
    </w:p>
    <w:p w14:paraId="0ECC7A9A" w14:textId="77777777" w:rsidR="00B65A50" w:rsidRPr="00F041AD" w:rsidRDefault="00B65A50" w:rsidP="00164A5A">
      <w:pPr>
        <w:pStyle w:val="5BodyText"/>
        <w:numPr>
          <w:ilvl w:val="0"/>
          <w:numId w:val="103"/>
        </w:numPr>
        <w:rPr>
          <w:b/>
          <w:color w:val="333333" w:themeColor="background1"/>
        </w:rPr>
      </w:pPr>
      <w:r w:rsidRPr="00F041AD">
        <w:rPr>
          <w:b/>
          <w:color w:val="333333" w:themeColor="background1"/>
        </w:rPr>
        <w:t xml:space="preserve">Building operator training programs are available </w:t>
      </w:r>
      <w:r w:rsidRPr="00F041AD">
        <w:rPr>
          <w:color w:val="333333" w:themeColor="background1"/>
        </w:rPr>
        <w:t>and attractive for operators to enroll in.</w:t>
      </w:r>
    </w:p>
    <w:p w14:paraId="558811ED" w14:textId="77777777" w:rsidR="00B65A50" w:rsidRPr="00F041AD" w:rsidRDefault="00B65A50" w:rsidP="00164A5A">
      <w:pPr>
        <w:pStyle w:val="5BodyText"/>
        <w:numPr>
          <w:ilvl w:val="0"/>
          <w:numId w:val="103"/>
        </w:numPr>
        <w:rPr>
          <w:b/>
          <w:color w:val="333333" w:themeColor="background1"/>
        </w:rPr>
      </w:pPr>
      <w:r w:rsidRPr="00F041AD">
        <w:rPr>
          <w:b/>
          <w:color w:val="333333" w:themeColor="background1"/>
        </w:rPr>
        <w:t xml:space="preserve">Commissioning tools and building control technologies meet the needs of building operators. </w:t>
      </w:r>
      <w:r w:rsidRPr="00F041AD">
        <w:rPr>
          <w:color w:val="333333" w:themeColor="background1"/>
        </w:rPr>
        <w:t>These tools can provide energy savings value without unduly burdening other operational practices.</w:t>
      </w:r>
    </w:p>
    <w:p w14:paraId="6024A2D6" w14:textId="77777777" w:rsidR="00B65A50" w:rsidRPr="00F041AD" w:rsidRDefault="00B65A50" w:rsidP="00164A5A">
      <w:pPr>
        <w:pStyle w:val="5BodyText"/>
        <w:rPr>
          <w:color w:val="333333" w:themeColor="background1"/>
        </w:rPr>
      </w:pPr>
    </w:p>
    <w:p w14:paraId="7887E19A" w14:textId="77777777" w:rsidR="00B65A50" w:rsidRPr="00F041AD" w:rsidRDefault="00B65A50" w:rsidP="00164A5A">
      <w:pPr>
        <w:pStyle w:val="5BodyText"/>
        <w:rPr>
          <w:bCs/>
          <w:i/>
          <w:iCs/>
          <w:color w:val="333333" w:themeColor="background1"/>
        </w:rPr>
      </w:pPr>
      <w:r w:rsidRPr="00F041AD">
        <w:rPr>
          <w:b/>
          <w:bCs/>
          <w:i/>
          <w:iCs/>
          <w:color w:val="333333" w:themeColor="background1"/>
        </w:rPr>
        <w:t>Indicators of strategy success</w:t>
      </w:r>
    </w:p>
    <w:p w14:paraId="0FE6C670" w14:textId="77777777" w:rsidR="00B65A50" w:rsidRPr="00F041AD" w:rsidRDefault="00B65A50" w:rsidP="00164A5A">
      <w:pPr>
        <w:pStyle w:val="5BodyText"/>
        <w:numPr>
          <w:ilvl w:val="0"/>
          <w:numId w:val="104"/>
        </w:numPr>
        <w:rPr>
          <w:color w:val="333333" w:themeColor="background1"/>
        </w:rPr>
      </w:pPr>
      <w:r w:rsidRPr="00F041AD">
        <w:rPr>
          <w:color w:val="333333" w:themeColor="background1"/>
        </w:rPr>
        <w:t>Number of and enrollment in building operator training programs</w:t>
      </w:r>
    </w:p>
    <w:p w14:paraId="235762F9" w14:textId="77777777" w:rsidR="00B65A50" w:rsidRPr="00F041AD" w:rsidRDefault="00B65A50" w:rsidP="00164A5A">
      <w:pPr>
        <w:pStyle w:val="5BodyText"/>
        <w:numPr>
          <w:ilvl w:val="0"/>
          <w:numId w:val="104"/>
        </w:numPr>
        <w:rPr>
          <w:color w:val="333333" w:themeColor="background1"/>
        </w:rPr>
      </w:pPr>
      <w:r w:rsidRPr="00F041AD">
        <w:rPr>
          <w:color w:val="333333" w:themeColor="background1"/>
        </w:rPr>
        <w:t>Square footage touched by retro-/ongoing commissioning</w:t>
      </w:r>
    </w:p>
    <w:p w14:paraId="6A7CAB58" w14:textId="77777777" w:rsidR="00B65A50" w:rsidRPr="00F041AD" w:rsidRDefault="00B65A50" w:rsidP="00164A5A">
      <w:pPr>
        <w:pStyle w:val="5BodyText"/>
        <w:numPr>
          <w:ilvl w:val="0"/>
          <w:numId w:val="104"/>
        </w:numPr>
        <w:rPr>
          <w:color w:val="333333" w:themeColor="background1"/>
        </w:rPr>
      </w:pPr>
      <w:r w:rsidRPr="00F041AD">
        <w:rPr>
          <w:color w:val="333333" w:themeColor="background1"/>
        </w:rPr>
        <w:t>Energy usage savings reported from controls upgrades</w:t>
      </w:r>
    </w:p>
    <w:p w14:paraId="4BC63459" w14:textId="77777777" w:rsidR="00B65A50" w:rsidRPr="00F041AD" w:rsidRDefault="00B65A50" w:rsidP="00164A5A">
      <w:pPr>
        <w:pStyle w:val="5BodyText"/>
        <w:rPr>
          <w:color w:val="333333" w:themeColor="background1"/>
        </w:rPr>
      </w:pPr>
    </w:p>
    <w:p w14:paraId="0DD30AF5" w14:textId="77777777" w:rsidR="00B65A50" w:rsidRPr="00F041AD" w:rsidRDefault="00B65A50" w:rsidP="00164A5A">
      <w:pPr>
        <w:pStyle w:val="5BodyText"/>
        <w:rPr>
          <w:bCs/>
          <w:i/>
          <w:iCs/>
          <w:color w:val="333333" w:themeColor="background1"/>
        </w:rPr>
      </w:pPr>
      <w:r w:rsidRPr="00F041AD">
        <w:rPr>
          <w:b/>
          <w:bCs/>
          <w:i/>
          <w:iCs/>
          <w:color w:val="333333" w:themeColor="background1"/>
        </w:rPr>
        <w:t>Cross-sector opportunities and synergies</w:t>
      </w:r>
    </w:p>
    <w:p w14:paraId="74581D8F" w14:textId="77777777" w:rsidR="00B65A50" w:rsidRPr="00F041AD" w:rsidRDefault="00B65A50" w:rsidP="00164A5A">
      <w:pPr>
        <w:pStyle w:val="5BodyText"/>
        <w:numPr>
          <w:ilvl w:val="0"/>
          <w:numId w:val="105"/>
        </w:numPr>
        <w:rPr>
          <w:color w:val="333333" w:themeColor="background1"/>
        </w:rPr>
      </w:pPr>
      <w:r w:rsidRPr="00F041AD">
        <w:rPr>
          <w:color w:val="333333" w:themeColor="background1"/>
        </w:rPr>
        <w:t>Building operator training is an important component for</w:t>
      </w:r>
      <w:r w:rsidRPr="00F041AD">
        <w:rPr>
          <w:b/>
          <w:color w:val="333333" w:themeColor="background1"/>
        </w:rPr>
        <w:t xml:space="preserve"> building energy benchmarking</w:t>
      </w:r>
    </w:p>
    <w:p w14:paraId="7372FEDE" w14:textId="77777777" w:rsidR="00B65A50" w:rsidRPr="00F041AD" w:rsidRDefault="00B65A50" w:rsidP="00164A5A">
      <w:pPr>
        <w:pStyle w:val="5BodyText"/>
        <w:numPr>
          <w:ilvl w:val="0"/>
          <w:numId w:val="105"/>
        </w:numPr>
        <w:rPr>
          <w:color w:val="333333" w:themeColor="background1"/>
        </w:rPr>
      </w:pPr>
      <w:r w:rsidRPr="00F041AD">
        <w:rPr>
          <w:color w:val="333333" w:themeColor="background1"/>
        </w:rPr>
        <w:t xml:space="preserve">Enhanced building controls could be a component of grid modernization, specifically for integration of </w:t>
      </w:r>
      <w:r w:rsidRPr="00F041AD">
        <w:rPr>
          <w:b/>
          <w:color w:val="333333" w:themeColor="background1"/>
        </w:rPr>
        <w:t>demand response</w:t>
      </w:r>
      <w:r w:rsidRPr="00F041AD">
        <w:rPr>
          <w:color w:val="333333" w:themeColor="background1"/>
        </w:rPr>
        <w:t xml:space="preserve"> and response to </w:t>
      </w:r>
      <w:r w:rsidRPr="00F041AD">
        <w:rPr>
          <w:b/>
          <w:color w:val="333333" w:themeColor="background1"/>
        </w:rPr>
        <w:t>time-based rates</w:t>
      </w:r>
    </w:p>
    <w:p w14:paraId="1DA877AC" w14:textId="7032C8C1" w:rsidR="00B65A50" w:rsidRPr="00F041AD" w:rsidRDefault="00B65A50" w:rsidP="00164A5A">
      <w:pPr>
        <w:pStyle w:val="5BodyText"/>
        <w:numPr>
          <w:ilvl w:val="0"/>
          <w:numId w:val="105"/>
        </w:numPr>
        <w:rPr>
          <w:color w:val="333333" w:themeColor="background1"/>
        </w:rPr>
      </w:pPr>
      <w:r w:rsidRPr="00F041AD">
        <w:rPr>
          <w:color w:val="333333" w:themeColor="background1"/>
        </w:rPr>
        <w:t xml:space="preserve">There is potential for </w:t>
      </w:r>
      <w:r w:rsidR="00206EC9" w:rsidRPr="00920B2F">
        <w:t xml:space="preserve">an industry-led organization to improve </w:t>
      </w:r>
      <w:r w:rsidR="00206EC9" w:rsidRPr="00363B42">
        <w:rPr>
          <w:b/>
        </w:rPr>
        <w:t>Coordination and Promotion of Clean Energy Industry</w:t>
      </w:r>
      <w:r w:rsidR="00206EC9" w:rsidRPr="00920B2F">
        <w:t xml:space="preserve"> </w:t>
      </w:r>
      <w:r w:rsidRPr="00F041AD">
        <w:rPr>
          <w:color w:val="333333" w:themeColor="background1"/>
        </w:rPr>
        <w:t>around enhanced building controls to support MN leadership in this area</w:t>
      </w:r>
    </w:p>
    <w:p w14:paraId="6303C00C" w14:textId="77777777" w:rsidR="00B65A50" w:rsidRPr="00F041AD" w:rsidRDefault="00B65A50" w:rsidP="00164A5A">
      <w:pPr>
        <w:pStyle w:val="5BodyText"/>
        <w:rPr>
          <w:color w:val="333333" w:themeColor="background1"/>
        </w:rPr>
      </w:pPr>
    </w:p>
    <w:p w14:paraId="21EB7FE7" w14:textId="77777777" w:rsidR="00B65A50" w:rsidRPr="00F041AD" w:rsidRDefault="00B65A50" w:rsidP="00164A5A">
      <w:pPr>
        <w:pStyle w:val="5BodyText"/>
        <w:rPr>
          <w:bCs/>
          <w:i/>
          <w:iCs/>
          <w:color w:val="333333" w:themeColor="background1"/>
        </w:rPr>
      </w:pPr>
      <w:r w:rsidRPr="00F041AD">
        <w:rPr>
          <w:b/>
          <w:bCs/>
          <w:i/>
          <w:iCs/>
          <w:color w:val="333333" w:themeColor="background1"/>
        </w:rPr>
        <w:t>Ongoing Minnesota initiatives</w:t>
      </w:r>
    </w:p>
    <w:p w14:paraId="629677D7" w14:textId="77777777" w:rsidR="00B65A50" w:rsidRPr="00F041AD" w:rsidRDefault="00B65A50" w:rsidP="00164A5A">
      <w:pPr>
        <w:pStyle w:val="5BodyText"/>
        <w:numPr>
          <w:ilvl w:val="0"/>
          <w:numId w:val="106"/>
        </w:numPr>
        <w:rPr>
          <w:color w:val="333333" w:themeColor="background1"/>
        </w:rPr>
      </w:pPr>
      <w:r w:rsidRPr="00F041AD">
        <w:rPr>
          <w:color w:val="333333" w:themeColor="background1"/>
        </w:rPr>
        <w:t>The Minnesota Department of Commerce provides a number of technical assistance and financing programs to support public entities in implementing energy efficiency and renewable energy projects. Programs include the</w:t>
      </w:r>
    </w:p>
    <w:p w14:paraId="4180526A" w14:textId="77777777" w:rsidR="00B65A50" w:rsidRPr="00F041AD" w:rsidRDefault="00B65A50" w:rsidP="00164A5A">
      <w:pPr>
        <w:pStyle w:val="5BodyText"/>
        <w:ind w:left="720"/>
        <w:rPr>
          <w:color w:val="333333" w:themeColor="background1"/>
        </w:rPr>
      </w:pPr>
    </w:p>
    <w:p w14:paraId="72E68824" w14:textId="77777777" w:rsidR="00B65A50" w:rsidRPr="00F041AD" w:rsidRDefault="006506BB" w:rsidP="00164A5A">
      <w:pPr>
        <w:pStyle w:val="5BodyText"/>
        <w:numPr>
          <w:ilvl w:val="0"/>
          <w:numId w:val="106"/>
        </w:numPr>
        <w:rPr>
          <w:color w:val="333333" w:themeColor="background1"/>
        </w:rPr>
      </w:pPr>
      <w:hyperlink r:id="rId150">
        <w:r w:rsidR="00B65A50" w:rsidRPr="00F041AD">
          <w:rPr>
            <w:color w:val="333333" w:themeColor="background1"/>
            <w:u w:val="single"/>
          </w:rPr>
          <w:t>Guaranteed Energy Savings Program</w:t>
        </w:r>
      </w:hyperlink>
      <w:r w:rsidR="00B65A50" w:rsidRPr="00F041AD">
        <w:rPr>
          <w:color w:val="333333" w:themeColor="background1"/>
          <w:u w:val="single"/>
        </w:rPr>
        <w:t xml:space="preserve">; the </w:t>
      </w:r>
      <w:hyperlink r:id="rId151">
        <w:r w:rsidR="00B65A50" w:rsidRPr="00F041AD">
          <w:rPr>
            <w:color w:val="333333" w:themeColor="background1"/>
            <w:u w:val="single"/>
          </w:rPr>
          <w:t>Local Energy Efficiency Program</w:t>
        </w:r>
      </w:hyperlink>
      <w:r w:rsidR="00B65A50" w:rsidRPr="00F041AD">
        <w:rPr>
          <w:color w:val="333333" w:themeColor="background1"/>
          <w:u w:val="single"/>
        </w:rPr>
        <w:t>,</w:t>
      </w:r>
      <w:r w:rsidR="00B65A50" w:rsidRPr="00F041AD">
        <w:rPr>
          <w:color w:val="333333" w:themeColor="background1"/>
        </w:rPr>
        <w:t xml:space="preserve"> </w:t>
      </w:r>
      <w:hyperlink r:id="rId152">
        <w:r w:rsidR="00B65A50" w:rsidRPr="00F041AD">
          <w:rPr>
            <w:color w:val="333333" w:themeColor="background1"/>
            <w:u w:val="single"/>
          </w:rPr>
          <w:t>Energy Savings Partnership</w:t>
        </w:r>
      </w:hyperlink>
      <w:r w:rsidR="00B65A50" w:rsidRPr="00F041AD">
        <w:rPr>
          <w:color w:val="333333" w:themeColor="background1"/>
        </w:rPr>
        <w:t xml:space="preserve">; the </w:t>
      </w:r>
      <w:hyperlink r:id="rId153">
        <w:r w:rsidR="00B65A50" w:rsidRPr="00F041AD">
          <w:rPr>
            <w:color w:val="333333" w:themeColor="background1"/>
            <w:u w:val="single"/>
          </w:rPr>
          <w:t>Public Entity Energy Audit and Renewable Energy Feasibility Study Loan Program</w:t>
        </w:r>
      </w:hyperlink>
      <w:r w:rsidR="00B65A50" w:rsidRPr="00F041AD">
        <w:rPr>
          <w:color w:val="333333" w:themeColor="background1"/>
        </w:rPr>
        <w:t xml:space="preserve">; and </w:t>
      </w:r>
      <w:hyperlink r:id="rId154">
        <w:r w:rsidR="00B65A50" w:rsidRPr="00F041AD">
          <w:rPr>
            <w:color w:val="333333" w:themeColor="background1"/>
            <w:u w:val="single"/>
          </w:rPr>
          <w:t>Rev It Up</w:t>
        </w:r>
      </w:hyperlink>
      <w:r w:rsidR="00B65A50" w:rsidRPr="00F041AD">
        <w:rPr>
          <w:color w:val="333333" w:themeColor="background1"/>
          <w:u w:val="single"/>
        </w:rPr>
        <w:t>.</w:t>
      </w:r>
      <w:r w:rsidR="00B65A50" w:rsidRPr="00F041AD">
        <w:rPr>
          <w:rStyle w:val="EndnoteReference"/>
          <w:color w:val="333333" w:themeColor="background1"/>
          <w:u w:val="single"/>
        </w:rPr>
        <w:endnoteReference w:id="204"/>
      </w:r>
      <w:r w:rsidR="00B65A50" w:rsidRPr="00F041AD">
        <w:rPr>
          <w:color w:val="333333" w:themeColor="background1"/>
        </w:rPr>
        <w:br/>
      </w:r>
    </w:p>
    <w:p w14:paraId="1101D2E7" w14:textId="77777777" w:rsidR="00B65A50" w:rsidRPr="00F041AD" w:rsidRDefault="006506BB" w:rsidP="00164A5A">
      <w:pPr>
        <w:pStyle w:val="5BodyText"/>
        <w:numPr>
          <w:ilvl w:val="0"/>
          <w:numId w:val="106"/>
        </w:numPr>
        <w:rPr>
          <w:color w:val="333333" w:themeColor="background1"/>
        </w:rPr>
      </w:pPr>
      <w:hyperlink r:id="rId155">
        <w:r w:rsidR="00B65A50" w:rsidRPr="00F041AD">
          <w:rPr>
            <w:color w:val="333333" w:themeColor="background1"/>
            <w:u w:val="single"/>
          </w:rPr>
          <w:t>SB 2030 Energy Efficient Operations</w:t>
        </w:r>
      </w:hyperlink>
      <w:r w:rsidR="00B65A50" w:rsidRPr="00F041AD">
        <w:rPr>
          <w:color w:val="333333" w:themeColor="background1"/>
        </w:rPr>
        <w:t xml:space="preserve"> is a web-based application that facilitates ongoing commissioning by identifying building-specific tasks and assigning responsibility and timing for task completion. The application is currently in the pilot stage for state-funded buildings.</w:t>
      </w:r>
      <w:r w:rsidR="00B65A50" w:rsidRPr="00F041AD">
        <w:rPr>
          <w:rStyle w:val="EndnoteReference"/>
          <w:color w:val="333333" w:themeColor="background1"/>
        </w:rPr>
        <w:endnoteReference w:id="205"/>
      </w:r>
      <w:r w:rsidR="00B65A50" w:rsidRPr="00F041AD">
        <w:rPr>
          <w:color w:val="333333" w:themeColor="background1"/>
        </w:rPr>
        <w:t xml:space="preserve"> </w:t>
      </w:r>
    </w:p>
    <w:p w14:paraId="0E04AB48" w14:textId="77777777" w:rsidR="00B65A50" w:rsidRPr="00F041AD" w:rsidRDefault="00B65A50" w:rsidP="00164A5A">
      <w:pPr>
        <w:pStyle w:val="5BodyText"/>
        <w:ind w:left="720"/>
        <w:rPr>
          <w:color w:val="333333" w:themeColor="background1"/>
        </w:rPr>
      </w:pPr>
    </w:p>
    <w:p w14:paraId="642BA7F2" w14:textId="77777777" w:rsidR="00B65A50" w:rsidRPr="00F041AD" w:rsidRDefault="006506BB" w:rsidP="00164A5A">
      <w:pPr>
        <w:pStyle w:val="5BodyText"/>
        <w:numPr>
          <w:ilvl w:val="0"/>
          <w:numId w:val="106"/>
        </w:numPr>
        <w:rPr>
          <w:color w:val="333333" w:themeColor="background1"/>
        </w:rPr>
      </w:pPr>
      <w:hyperlink r:id="rId156" w:history="1">
        <w:r w:rsidR="00B65A50" w:rsidRPr="00F041AD">
          <w:rPr>
            <w:rStyle w:val="Hyperlink"/>
            <w:color w:val="333333" w:themeColor="background1"/>
          </w:rPr>
          <w:t>Minnesota Training Plan for Building Designers and Operators</w:t>
        </w:r>
      </w:hyperlink>
      <w:r w:rsidR="00B65A50" w:rsidRPr="00F041AD">
        <w:rPr>
          <w:color w:val="333333" w:themeColor="background1"/>
        </w:rPr>
        <w:t>, completed by CSBR and Herzog/Wheeler for MN Department of Commerce, October 2010</w:t>
      </w:r>
    </w:p>
    <w:p w14:paraId="79D6D0FE" w14:textId="77777777" w:rsidR="00B65A50" w:rsidRPr="00F041AD" w:rsidRDefault="00B65A50" w:rsidP="00164A5A">
      <w:pPr>
        <w:pStyle w:val="5BodyText"/>
        <w:rPr>
          <w:color w:val="333333" w:themeColor="background1"/>
        </w:rPr>
      </w:pPr>
    </w:p>
    <w:p w14:paraId="00EF2963" w14:textId="77777777" w:rsidR="00B65A50" w:rsidRPr="00F041AD" w:rsidRDefault="00B65A50" w:rsidP="00164A5A">
      <w:pPr>
        <w:pStyle w:val="5BodyText"/>
        <w:rPr>
          <w:b/>
          <w:i/>
          <w:color w:val="333333" w:themeColor="background1"/>
        </w:rPr>
      </w:pPr>
    </w:p>
    <w:p w14:paraId="721365AC" w14:textId="4098BA40" w:rsidR="00B65A50" w:rsidRPr="00F041AD" w:rsidRDefault="00725676" w:rsidP="004C45CB">
      <w:pPr>
        <w:pStyle w:val="StrategyName"/>
      </w:pPr>
      <w:bookmarkStart w:id="216" w:name="h.4k668n3" w:colFirst="0" w:colLast="0"/>
      <w:bookmarkStart w:id="217" w:name="_Toc317317603"/>
      <w:bookmarkStart w:id="218" w:name="_Toc318126178"/>
      <w:bookmarkStart w:id="219" w:name="_Toc319794283"/>
      <w:bookmarkStart w:id="220" w:name="_Toc322961646"/>
      <w:bookmarkStart w:id="221" w:name="_Toc322962047"/>
      <w:bookmarkStart w:id="222" w:name="_Toc322962234"/>
      <w:bookmarkEnd w:id="216"/>
      <w:r>
        <w:t>C5</w:t>
      </w:r>
      <w:r w:rsidR="00B65A50" w:rsidRPr="00F041AD">
        <w:t>. Promote behavioral energy efficiency strategies</w:t>
      </w:r>
      <w:bookmarkEnd w:id="217"/>
      <w:bookmarkEnd w:id="218"/>
      <w:bookmarkEnd w:id="219"/>
      <w:bookmarkEnd w:id="220"/>
      <w:bookmarkEnd w:id="221"/>
      <w:bookmarkEnd w:id="222"/>
    </w:p>
    <w:p w14:paraId="6D3065DA" w14:textId="77777777" w:rsidR="00B65A50" w:rsidRPr="00F041AD" w:rsidRDefault="00B65A50" w:rsidP="00164A5A">
      <w:pPr>
        <w:pStyle w:val="5BodyText"/>
        <w:rPr>
          <w:b/>
          <w:color w:val="333333" w:themeColor="background1"/>
        </w:rPr>
      </w:pPr>
    </w:p>
    <w:p w14:paraId="74C05700" w14:textId="77777777" w:rsidR="00B65A50" w:rsidRPr="00F041AD" w:rsidRDefault="00B65A50" w:rsidP="00164A5A">
      <w:pPr>
        <w:pStyle w:val="5BodyText"/>
        <w:rPr>
          <w:i/>
          <w:iCs/>
          <w:color w:val="333333" w:themeColor="background1"/>
        </w:rPr>
      </w:pPr>
      <w:r w:rsidRPr="00F041AD">
        <w:rPr>
          <w:b/>
          <w:i/>
          <w:iCs/>
          <w:color w:val="333333" w:themeColor="background1"/>
        </w:rPr>
        <w:lastRenderedPageBreak/>
        <w:t>Strategy overview</w:t>
      </w:r>
    </w:p>
    <w:p w14:paraId="11D6901E" w14:textId="77777777" w:rsidR="00B65A50" w:rsidRPr="00F041AD" w:rsidRDefault="00B65A50" w:rsidP="00164A5A">
      <w:pPr>
        <w:pStyle w:val="5BodyText"/>
        <w:rPr>
          <w:color w:val="333333" w:themeColor="background1"/>
        </w:rPr>
      </w:pPr>
      <w:r w:rsidRPr="00F041AD">
        <w:rPr>
          <w:color w:val="333333" w:themeColor="background1"/>
        </w:rPr>
        <w:t>Historically, energy efficiency programs have focused on financial incentives to achieve energy reductions, with varying results. Increasingly, though, non-financial motivators are being used to motivate energy conservation. Behavior-based energy efficiency strategies draw from social science insights to inspire consumers to modify their actions</w:t>
      </w:r>
      <w:r w:rsidRPr="00F041AD">
        <w:rPr>
          <w:rStyle w:val="EndnoteReference"/>
          <w:color w:val="333333" w:themeColor="background1"/>
        </w:rPr>
        <w:endnoteReference w:id="206"/>
      </w:r>
      <w:r w:rsidRPr="00F041AD">
        <w:rPr>
          <w:color w:val="333333" w:themeColor="background1"/>
        </w:rPr>
        <w:t>. Utilities and third-party providers can send personalized, targeted messages through multiple channels to encourage energy savings, saving between one to three percent of energy use for residential customers.</w:t>
      </w:r>
    </w:p>
    <w:p w14:paraId="6F637EC6" w14:textId="77777777" w:rsidR="00B65A50" w:rsidRPr="00F041AD" w:rsidRDefault="00B65A50" w:rsidP="00164A5A">
      <w:pPr>
        <w:pStyle w:val="5BodyText"/>
        <w:rPr>
          <w:color w:val="333333" w:themeColor="background1"/>
        </w:rPr>
      </w:pPr>
    </w:p>
    <w:p w14:paraId="570374C1" w14:textId="77777777" w:rsidR="00B65A50" w:rsidRPr="00F041AD" w:rsidRDefault="00B65A50" w:rsidP="00164A5A">
      <w:pPr>
        <w:pStyle w:val="5BodyText"/>
        <w:rPr>
          <w:color w:val="333333" w:themeColor="background1"/>
        </w:rPr>
      </w:pPr>
      <w:r w:rsidRPr="00F041AD">
        <w:rPr>
          <w:color w:val="333333" w:themeColor="background1"/>
        </w:rPr>
        <w:t>Stakeholders identified behavioral energy efficiency strategies as a near-term opportunity for Minnesota to help sustain savings and enhance the effectiveness of existing utility efficiency programs.</w:t>
      </w:r>
    </w:p>
    <w:p w14:paraId="3AA2EFA6" w14:textId="77777777" w:rsidR="00B65A50" w:rsidRPr="00F041AD" w:rsidRDefault="00B65A50" w:rsidP="00164A5A">
      <w:pPr>
        <w:pStyle w:val="5BodyText"/>
        <w:rPr>
          <w:color w:val="333333" w:themeColor="background1"/>
        </w:rPr>
      </w:pPr>
    </w:p>
    <w:p w14:paraId="17D07D7D" w14:textId="77777777" w:rsidR="00B65A50" w:rsidRPr="00F041AD" w:rsidRDefault="00B65A50" w:rsidP="00164A5A">
      <w:pPr>
        <w:pStyle w:val="5BodyText"/>
        <w:rPr>
          <w:bCs/>
          <w:i/>
          <w:iCs/>
          <w:color w:val="333333" w:themeColor="background1"/>
        </w:rPr>
      </w:pPr>
      <w:r w:rsidRPr="00F041AD">
        <w:rPr>
          <w:b/>
          <w:bCs/>
          <w:i/>
          <w:iCs/>
          <w:color w:val="333333" w:themeColor="background1"/>
        </w:rPr>
        <w:t>Specific actions for strategy implementation</w:t>
      </w:r>
    </w:p>
    <w:p w14:paraId="346AD125" w14:textId="77777777" w:rsidR="00B65A50" w:rsidRPr="00F041AD" w:rsidRDefault="00B65A50" w:rsidP="00164A5A">
      <w:pPr>
        <w:pStyle w:val="5BodyText"/>
        <w:numPr>
          <w:ilvl w:val="0"/>
          <w:numId w:val="107"/>
        </w:numPr>
        <w:rPr>
          <w:color w:val="333333" w:themeColor="background1"/>
        </w:rPr>
      </w:pPr>
      <w:r w:rsidRPr="00F041AD">
        <w:rPr>
          <w:b/>
          <w:color w:val="333333" w:themeColor="background1"/>
        </w:rPr>
        <w:t xml:space="preserve">Expand use of behavioral strategies to drive energy reductions. </w:t>
      </w:r>
      <w:r w:rsidRPr="00F041AD">
        <w:rPr>
          <w:color w:val="333333" w:themeColor="background1"/>
        </w:rPr>
        <w:t xml:space="preserve">Behavioral strategies are often under-utilized in energy efficiency programs. Techniques—like priming, framing, and fostering new social norms —can change the way customers think about and consume energy. </w:t>
      </w:r>
    </w:p>
    <w:p w14:paraId="00E63CC8" w14:textId="77777777" w:rsidR="00B65A50" w:rsidRPr="00F041AD" w:rsidRDefault="00B65A50" w:rsidP="00164A5A">
      <w:pPr>
        <w:pStyle w:val="5BodyText"/>
        <w:rPr>
          <w:b/>
          <w:color w:val="333333" w:themeColor="background1"/>
        </w:rPr>
      </w:pPr>
    </w:p>
    <w:p w14:paraId="1BB66AF2" w14:textId="77777777" w:rsidR="00B65A50" w:rsidRPr="00F041AD" w:rsidRDefault="00B65A50" w:rsidP="00164A5A">
      <w:pPr>
        <w:pStyle w:val="5BodyText"/>
        <w:ind w:left="720"/>
        <w:rPr>
          <w:b/>
          <w:color w:val="333333" w:themeColor="background1"/>
        </w:rPr>
      </w:pPr>
      <w:r w:rsidRPr="00F041AD">
        <w:rPr>
          <w:b/>
          <w:color w:val="333333" w:themeColor="background1"/>
        </w:rPr>
        <w:t xml:space="preserve">Champions/Key Participants: </w:t>
      </w:r>
    </w:p>
    <w:p w14:paraId="403198C9" w14:textId="77777777" w:rsidR="00B65A50" w:rsidRPr="00F041AD" w:rsidRDefault="00B65A50" w:rsidP="00164A5A">
      <w:pPr>
        <w:pStyle w:val="5BodyText"/>
        <w:ind w:left="720"/>
        <w:rPr>
          <w:b/>
          <w:color w:val="333333" w:themeColor="background1"/>
        </w:rPr>
      </w:pPr>
      <w:r w:rsidRPr="00F041AD">
        <w:rPr>
          <w:rFonts w:asciiTheme="majorHAnsi" w:hAnsiTheme="majorHAnsi"/>
          <w:color w:val="333333" w:themeColor="background1"/>
        </w:rPr>
        <w:t xml:space="preserve">- </w:t>
      </w:r>
      <w:r w:rsidRPr="00F041AD">
        <w:rPr>
          <w:color w:val="333333" w:themeColor="background1"/>
        </w:rPr>
        <w:t xml:space="preserve">Minnesota Department of Commerce </w:t>
      </w:r>
    </w:p>
    <w:p w14:paraId="49BF3850"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Center for Energy and Environment (CEE)</w:t>
      </w:r>
    </w:p>
    <w:p w14:paraId="47E03CC3"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Ecolibrium3</w:t>
      </w:r>
    </w:p>
    <w:p w14:paraId="0087EDAB" w14:textId="77777777" w:rsidR="00B65A50" w:rsidRPr="00F041AD" w:rsidRDefault="00B65A50" w:rsidP="00164A5A">
      <w:pPr>
        <w:pStyle w:val="5BodyText"/>
        <w:rPr>
          <w:color w:val="333333" w:themeColor="background1"/>
        </w:rPr>
      </w:pPr>
    </w:p>
    <w:p w14:paraId="79B57104" w14:textId="77777777" w:rsidR="00B65A50" w:rsidRPr="00F041AD" w:rsidRDefault="00B65A50" w:rsidP="00164A5A">
      <w:pPr>
        <w:pStyle w:val="5BodyText"/>
        <w:numPr>
          <w:ilvl w:val="0"/>
          <w:numId w:val="107"/>
        </w:numPr>
        <w:rPr>
          <w:color w:val="333333" w:themeColor="background1"/>
        </w:rPr>
      </w:pPr>
      <w:r w:rsidRPr="00F041AD">
        <w:rPr>
          <w:b/>
          <w:color w:val="333333" w:themeColor="background1"/>
        </w:rPr>
        <w:t>Introduce intra- and inter-city energy competitions.</w:t>
      </w:r>
      <w:r w:rsidRPr="00F041AD">
        <w:rPr>
          <w:color w:val="333333" w:themeColor="background1"/>
        </w:rPr>
        <w:br/>
        <w:t>Competitions within and across cities can channel consumers to other energy efficiency programs and resources</w:t>
      </w:r>
      <w:r w:rsidRPr="00F041AD">
        <w:rPr>
          <w:b/>
          <w:color w:val="333333" w:themeColor="background1"/>
        </w:rPr>
        <w:t xml:space="preserve">. </w:t>
      </w:r>
      <w:r w:rsidRPr="00F041AD">
        <w:rPr>
          <w:color w:val="333333" w:themeColor="background1"/>
        </w:rPr>
        <w:t xml:space="preserve">These competitions can integrate social science insights into behavioral program design. For example, an energy challenge could include additional benefits to frame energy choices in non-monetary terms such as energy rating/benchmarking, social norms, and “similar home” comparisons, include commitment and goal setting, and “gamify” energy use. Such competitions could be added as a best practice for </w:t>
      </w:r>
      <w:proofErr w:type="spellStart"/>
      <w:r w:rsidRPr="00F041AD">
        <w:rPr>
          <w:color w:val="333333" w:themeColor="background1"/>
        </w:rPr>
        <w:t>GreenStep</w:t>
      </w:r>
      <w:proofErr w:type="spellEnd"/>
      <w:r w:rsidRPr="00F041AD">
        <w:rPr>
          <w:color w:val="333333" w:themeColor="background1"/>
        </w:rPr>
        <w:t xml:space="preserve"> Cities, which could then help to convene the events and give recognition to those cities that have made significant progress.</w:t>
      </w:r>
    </w:p>
    <w:p w14:paraId="40BD93A0" w14:textId="77777777" w:rsidR="00B65A50" w:rsidRPr="00F041AD" w:rsidRDefault="00B65A50" w:rsidP="00164A5A">
      <w:pPr>
        <w:pStyle w:val="5BodyText"/>
        <w:rPr>
          <w:color w:val="333333" w:themeColor="background1"/>
        </w:rPr>
      </w:pPr>
    </w:p>
    <w:p w14:paraId="43D5392A" w14:textId="77777777" w:rsidR="00B65A50" w:rsidRPr="00F041AD" w:rsidRDefault="00B65A50" w:rsidP="00164A5A">
      <w:pPr>
        <w:pStyle w:val="5BodyText"/>
        <w:ind w:left="720"/>
        <w:rPr>
          <w:b/>
          <w:color w:val="333333" w:themeColor="background1"/>
        </w:rPr>
      </w:pPr>
      <w:r w:rsidRPr="00F041AD">
        <w:rPr>
          <w:b/>
          <w:color w:val="333333" w:themeColor="background1"/>
        </w:rPr>
        <w:t xml:space="preserve">Champions/Key Participants: </w:t>
      </w:r>
    </w:p>
    <w:p w14:paraId="65FEEA81"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Minnesota Department of Commerce</w:t>
      </w:r>
    </w:p>
    <w:p w14:paraId="7F77466E"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Center for Energy and Environment (CEE)</w:t>
      </w:r>
    </w:p>
    <w:p w14:paraId="1DD5D58F"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Minnesota Pollution Control Agency via</w:t>
      </w:r>
      <w:r w:rsidRPr="00F041AD">
        <w:rPr>
          <w:b/>
          <w:color w:val="333333" w:themeColor="background1"/>
        </w:rPr>
        <w:t xml:space="preserve"> </w:t>
      </w:r>
      <w:proofErr w:type="spellStart"/>
      <w:r w:rsidRPr="00F041AD">
        <w:rPr>
          <w:color w:val="333333" w:themeColor="background1"/>
        </w:rPr>
        <w:t>GreenStep</w:t>
      </w:r>
      <w:proofErr w:type="spellEnd"/>
      <w:r w:rsidRPr="00F041AD">
        <w:rPr>
          <w:color w:val="333333" w:themeColor="background1"/>
        </w:rPr>
        <w:t xml:space="preserve"> Cities</w:t>
      </w:r>
    </w:p>
    <w:p w14:paraId="2F6EA27F" w14:textId="77777777" w:rsidR="00B65A50" w:rsidRPr="00F041AD" w:rsidRDefault="00B65A50" w:rsidP="00164A5A">
      <w:pPr>
        <w:pStyle w:val="5BodyText"/>
        <w:ind w:left="720"/>
        <w:rPr>
          <w:b/>
          <w:color w:val="333333" w:themeColor="background1"/>
        </w:rPr>
      </w:pPr>
      <w:r w:rsidRPr="00F041AD">
        <w:rPr>
          <w:rFonts w:asciiTheme="majorHAnsi" w:hAnsiTheme="majorHAnsi"/>
          <w:color w:val="333333" w:themeColor="background1"/>
        </w:rPr>
        <w:t xml:space="preserve">- </w:t>
      </w:r>
      <w:r w:rsidRPr="00F041AD">
        <w:rPr>
          <w:color w:val="333333" w:themeColor="background1"/>
        </w:rPr>
        <w:t>Ecolibrium3</w:t>
      </w:r>
    </w:p>
    <w:p w14:paraId="425CA9EB" w14:textId="77777777" w:rsidR="00B65A50" w:rsidRPr="00F041AD" w:rsidRDefault="00B65A50" w:rsidP="00164A5A">
      <w:pPr>
        <w:pStyle w:val="5BodyText"/>
        <w:rPr>
          <w:color w:val="333333" w:themeColor="background1"/>
        </w:rPr>
      </w:pPr>
    </w:p>
    <w:p w14:paraId="77EF76A8" w14:textId="77777777" w:rsidR="00B65A50" w:rsidRPr="00F041AD" w:rsidRDefault="00B65A50" w:rsidP="00164A5A">
      <w:pPr>
        <w:pStyle w:val="5BodyText"/>
        <w:rPr>
          <w:bCs/>
          <w:i/>
          <w:iCs/>
          <w:color w:val="333333" w:themeColor="background1"/>
        </w:rPr>
      </w:pPr>
      <w:r w:rsidRPr="00F041AD">
        <w:rPr>
          <w:b/>
          <w:bCs/>
          <w:i/>
          <w:iCs/>
          <w:color w:val="333333" w:themeColor="background1"/>
        </w:rPr>
        <w:lastRenderedPageBreak/>
        <w:t>Success factors</w:t>
      </w:r>
    </w:p>
    <w:p w14:paraId="38A80684" w14:textId="77777777" w:rsidR="00B65A50" w:rsidRPr="00F041AD" w:rsidRDefault="00B65A50" w:rsidP="00164A5A">
      <w:pPr>
        <w:pStyle w:val="5BodyText"/>
        <w:numPr>
          <w:ilvl w:val="0"/>
          <w:numId w:val="108"/>
        </w:numPr>
        <w:rPr>
          <w:b/>
          <w:color w:val="333333" w:themeColor="background1"/>
        </w:rPr>
      </w:pPr>
      <w:r w:rsidRPr="00F041AD">
        <w:rPr>
          <w:b/>
          <w:color w:val="333333" w:themeColor="background1"/>
        </w:rPr>
        <w:t xml:space="preserve">Energy use data is available for intra- and inter-city competitions </w:t>
      </w:r>
      <w:r w:rsidRPr="00F041AD">
        <w:rPr>
          <w:color w:val="333333" w:themeColor="background1"/>
        </w:rPr>
        <w:t>in order to allow for assessment of progress.</w:t>
      </w:r>
    </w:p>
    <w:p w14:paraId="210EB69E" w14:textId="77777777" w:rsidR="00B65A50" w:rsidRPr="00F041AD" w:rsidRDefault="00B65A50" w:rsidP="00164A5A">
      <w:pPr>
        <w:pStyle w:val="5BodyText"/>
        <w:numPr>
          <w:ilvl w:val="0"/>
          <w:numId w:val="108"/>
        </w:numPr>
        <w:rPr>
          <w:color w:val="333333" w:themeColor="background1"/>
        </w:rPr>
      </w:pPr>
      <w:r w:rsidRPr="00F041AD">
        <w:rPr>
          <w:b/>
          <w:color w:val="333333" w:themeColor="background1"/>
        </w:rPr>
        <w:t xml:space="preserve">Local governments understand the benefits </w:t>
      </w:r>
      <w:r w:rsidRPr="00F041AD">
        <w:rPr>
          <w:color w:val="333333" w:themeColor="background1"/>
        </w:rPr>
        <w:t>of behaviorally-based energy challenges.</w:t>
      </w:r>
    </w:p>
    <w:p w14:paraId="4C809BDF" w14:textId="77777777" w:rsidR="00B65A50" w:rsidRPr="00F041AD" w:rsidRDefault="00B65A50" w:rsidP="00164A5A">
      <w:pPr>
        <w:pStyle w:val="5BodyText"/>
        <w:rPr>
          <w:color w:val="333333" w:themeColor="background1"/>
        </w:rPr>
      </w:pPr>
    </w:p>
    <w:p w14:paraId="7CE896FF" w14:textId="77777777" w:rsidR="00B65A50" w:rsidRPr="00F041AD" w:rsidRDefault="00B65A50" w:rsidP="00164A5A">
      <w:pPr>
        <w:pStyle w:val="5BodyText"/>
        <w:rPr>
          <w:bCs/>
          <w:i/>
          <w:iCs/>
          <w:color w:val="333333" w:themeColor="background1"/>
        </w:rPr>
      </w:pPr>
      <w:r w:rsidRPr="00F041AD">
        <w:rPr>
          <w:b/>
          <w:bCs/>
          <w:i/>
          <w:iCs/>
          <w:color w:val="333333" w:themeColor="background1"/>
        </w:rPr>
        <w:t>Indicators of strategy success</w:t>
      </w:r>
    </w:p>
    <w:p w14:paraId="01F59E71" w14:textId="77777777" w:rsidR="00B65A50" w:rsidRPr="00F041AD" w:rsidRDefault="00B65A50" w:rsidP="00164A5A">
      <w:pPr>
        <w:pStyle w:val="5BodyText"/>
        <w:numPr>
          <w:ilvl w:val="0"/>
          <w:numId w:val="109"/>
        </w:numPr>
        <w:rPr>
          <w:color w:val="333333" w:themeColor="background1"/>
        </w:rPr>
      </w:pPr>
      <w:r w:rsidRPr="00F041AD">
        <w:rPr>
          <w:color w:val="333333" w:themeColor="background1"/>
        </w:rPr>
        <w:t>Number of Minnesota utility energy efficiency programs using behavioral methods.</w:t>
      </w:r>
      <w:r w:rsidRPr="00F041AD">
        <w:rPr>
          <w:rStyle w:val="EndnoteReference"/>
          <w:color w:val="333333" w:themeColor="background1"/>
        </w:rPr>
        <w:endnoteReference w:id="207"/>
      </w:r>
    </w:p>
    <w:p w14:paraId="46CBF472" w14:textId="77777777" w:rsidR="00B65A50" w:rsidRPr="00F041AD" w:rsidRDefault="00B65A50" w:rsidP="00164A5A">
      <w:pPr>
        <w:pStyle w:val="5BodyText"/>
        <w:numPr>
          <w:ilvl w:val="0"/>
          <w:numId w:val="109"/>
        </w:numPr>
        <w:rPr>
          <w:color w:val="333333" w:themeColor="background1"/>
        </w:rPr>
      </w:pPr>
      <w:r w:rsidRPr="00F041AD">
        <w:rPr>
          <w:color w:val="333333" w:themeColor="background1"/>
        </w:rPr>
        <w:t xml:space="preserve">Number of </w:t>
      </w:r>
      <w:proofErr w:type="spellStart"/>
      <w:r w:rsidRPr="00F041AD">
        <w:rPr>
          <w:color w:val="333333" w:themeColor="background1"/>
        </w:rPr>
        <w:t>GreenStep</w:t>
      </w:r>
      <w:proofErr w:type="spellEnd"/>
      <w:r w:rsidRPr="00F041AD">
        <w:rPr>
          <w:color w:val="333333" w:themeColor="background1"/>
        </w:rPr>
        <w:t xml:space="preserve"> Cities that have committed to implementing a citywide energy challenge </w:t>
      </w:r>
    </w:p>
    <w:p w14:paraId="196D9761" w14:textId="77777777" w:rsidR="00B65A50" w:rsidRPr="00F041AD" w:rsidRDefault="00B65A50" w:rsidP="00164A5A">
      <w:pPr>
        <w:pStyle w:val="5BodyText"/>
        <w:rPr>
          <w:color w:val="333333" w:themeColor="background1"/>
        </w:rPr>
      </w:pPr>
    </w:p>
    <w:p w14:paraId="1C55262D" w14:textId="77777777" w:rsidR="00B65A50" w:rsidRPr="00F041AD" w:rsidRDefault="00B65A50" w:rsidP="00164A5A">
      <w:pPr>
        <w:pStyle w:val="5BodyText"/>
        <w:rPr>
          <w:bCs/>
          <w:i/>
          <w:iCs/>
          <w:color w:val="333333" w:themeColor="background1"/>
        </w:rPr>
      </w:pPr>
      <w:r w:rsidRPr="00F041AD">
        <w:rPr>
          <w:b/>
          <w:bCs/>
          <w:i/>
          <w:iCs/>
          <w:color w:val="333333" w:themeColor="background1"/>
        </w:rPr>
        <w:t>Cross-sector opportunities and synergies</w:t>
      </w:r>
    </w:p>
    <w:p w14:paraId="09A66032" w14:textId="77777777" w:rsidR="00B65A50" w:rsidRPr="00F041AD" w:rsidRDefault="00B65A50" w:rsidP="00164A5A">
      <w:pPr>
        <w:pStyle w:val="5BodyText"/>
        <w:numPr>
          <w:ilvl w:val="0"/>
          <w:numId w:val="110"/>
        </w:numPr>
        <w:rPr>
          <w:color w:val="333333" w:themeColor="background1"/>
        </w:rPr>
      </w:pPr>
      <w:r w:rsidRPr="00F041AD">
        <w:rPr>
          <w:color w:val="333333" w:themeColor="background1"/>
        </w:rPr>
        <w:t xml:space="preserve">Improved </w:t>
      </w:r>
      <w:r w:rsidRPr="00F041AD">
        <w:rPr>
          <w:b/>
          <w:color w:val="333333" w:themeColor="background1"/>
        </w:rPr>
        <w:t>energy data access</w:t>
      </w:r>
      <w:r w:rsidRPr="00F041AD">
        <w:rPr>
          <w:color w:val="333333" w:themeColor="background1"/>
        </w:rPr>
        <w:t>, such as through Green Button and community-level energy data access, will facilitate tracking the impact of behavioral strategies</w:t>
      </w:r>
    </w:p>
    <w:p w14:paraId="4EC51B74" w14:textId="77777777" w:rsidR="00B65A50" w:rsidRPr="00F041AD" w:rsidRDefault="00B65A50" w:rsidP="00164A5A">
      <w:pPr>
        <w:pStyle w:val="5BodyText"/>
        <w:numPr>
          <w:ilvl w:val="0"/>
          <w:numId w:val="110"/>
        </w:numPr>
        <w:rPr>
          <w:color w:val="333333" w:themeColor="background1"/>
        </w:rPr>
      </w:pPr>
      <w:r w:rsidRPr="00F041AD">
        <w:rPr>
          <w:color w:val="333333" w:themeColor="background1"/>
        </w:rPr>
        <w:t xml:space="preserve">Behavioral strategies can enhance effectiveness of </w:t>
      </w:r>
      <w:r w:rsidRPr="00F041AD">
        <w:rPr>
          <w:b/>
          <w:color w:val="333333" w:themeColor="background1"/>
        </w:rPr>
        <w:t>Local Government Action</w:t>
      </w:r>
      <w:r w:rsidRPr="00F041AD">
        <w:rPr>
          <w:color w:val="333333" w:themeColor="background1"/>
        </w:rPr>
        <w:t xml:space="preserve"> </w:t>
      </w:r>
    </w:p>
    <w:p w14:paraId="7ABB214E" w14:textId="77777777" w:rsidR="00B65A50" w:rsidRPr="00F041AD" w:rsidRDefault="00B65A50" w:rsidP="00164A5A">
      <w:pPr>
        <w:pStyle w:val="5BodyText"/>
        <w:rPr>
          <w:color w:val="333333" w:themeColor="background1"/>
        </w:rPr>
      </w:pPr>
    </w:p>
    <w:p w14:paraId="77F9AA50" w14:textId="431B4497" w:rsidR="00B65A50" w:rsidRPr="00F041AD" w:rsidRDefault="000034E1" w:rsidP="00164A5A">
      <w:pPr>
        <w:pStyle w:val="5BodyText"/>
        <w:rPr>
          <w:bCs/>
          <w:i/>
          <w:iCs/>
          <w:color w:val="333333" w:themeColor="background1"/>
        </w:rPr>
      </w:pPr>
      <w:r w:rsidRPr="00F041AD">
        <w:rPr>
          <w:b/>
          <w:bCs/>
          <w:i/>
          <w:iCs/>
          <w:color w:val="333333" w:themeColor="background1"/>
        </w:rPr>
        <w:t>Ongoing Minnesota</w:t>
      </w:r>
      <w:r w:rsidR="00B65A50" w:rsidRPr="00F041AD">
        <w:rPr>
          <w:b/>
          <w:bCs/>
          <w:i/>
          <w:iCs/>
          <w:color w:val="333333" w:themeColor="background1"/>
        </w:rPr>
        <w:t xml:space="preserve"> initiatives</w:t>
      </w:r>
    </w:p>
    <w:p w14:paraId="4007BE5E" w14:textId="77777777" w:rsidR="00B65A50" w:rsidRPr="00F041AD" w:rsidRDefault="00B65A50" w:rsidP="00164A5A">
      <w:pPr>
        <w:pStyle w:val="5BodyText"/>
        <w:numPr>
          <w:ilvl w:val="0"/>
          <w:numId w:val="111"/>
        </w:numPr>
        <w:rPr>
          <w:color w:val="333333" w:themeColor="background1"/>
        </w:rPr>
      </w:pPr>
      <w:r w:rsidRPr="00F041AD">
        <w:rPr>
          <w:color w:val="333333" w:themeColor="background1"/>
        </w:rPr>
        <w:t>ILLUME Advising’s report for the Minnesota Department of Commerce,</w:t>
      </w:r>
      <w:r w:rsidRPr="00F041AD">
        <w:rPr>
          <w:color w:val="333333" w:themeColor="background1"/>
          <w:u w:val="single"/>
        </w:rPr>
        <w:t xml:space="preserve"> “</w:t>
      </w:r>
      <w:r w:rsidRPr="00F041AD">
        <w:rPr>
          <w:color w:val="333333" w:themeColor="background1"/>
        </w:rPr>
        <w:t xml:space="preserve">Statewide Commercial Behavioral Segmentation and Potential Study,” assesses the technical potential of behavior change among small and medium businesses. The report is expected to be released in 2017. </w:t>
      </w:r>
    </w:p>
    <w:p w14:paraId="041EE701" w14:textId="77777777" w:rsidR="00B65A50" w:rsidRPr="00F041AD" w:rsidRDefault="00B65A50" w:rsidP="00164A5A">
      <w:pPr>
        <w:pStyle w:val="5BodyText"/>
        <w:rPr>
          <w:color w:val="333333" w:themeColor="background1"/>
        </w:rPr>
      </w:pPr>
    </w:p>
    <w:p w14:paraId="3090D673" w14:textId="77777777" w:rsidR="00B65A50" w:rsidRPr="00F041AD" w:rsidRDefault="00B65A50" w:rsidP="00164A5A">
      <w:pPr>
        <w:pStyle w:val="5BodyText"/>
        <w:numPr>
          <w:ilvl w:val="0"/>
          <w:numId w:val="111"/>
        </w:numPr>
        <w:rPr>
          <w:color w:val="333333" w:themeColor="background1"/>
        </w:rPr>
      </w:pPr>
      <w:r w:rsidRPr="00F041AD">
        <w:rPr>
          <w:color w:val="333333" w:themeColor="background1"/>
        </w:rPr>
        <w:t>ILLUME Advising’s forthcoming report for the Minnesota Department of Commerce, “</w:t>
      </w:r>
      <w:hyperlink r:id="rId157">
        <w:r w:rsidRPr="00F041AD">
          <w:rPr>
            <w:color w:val="333333" w:themeColor="background1"/>
            <w:u w:val="single"/>
          </w:rPr>
          <w:t>Energy Efficiency Behavioral Programs: Literature Review, Benchmarking Analysis, and Evaluation Guidelines</w:t>
        </w:r>
      </w:hyperlink>
      <w:r w:rsidRPr="00F041AD">
        <w:rPr>
          <w:color w:val="333333" w:themeColor="background1"/>
        </w:rPr>
        <w:t>,” identifies Conservation Improvement Programs that use behavioral techniques and estimates their savings.</w:t>
      </w:r>
      <w:r w:rsidRPr="00F041AD">
        <w:rPr>
          <w:rStyle w:val="EndnoteReference"/>
          <w:color w:val="333333" w:themeColor="background1"/>
        </w:rPr>
        <w:endnoteReference w:id="208"/>
      </w:r>
    </w:p>
    <w:p w14:paraId="3F7FBF63" w14:textId="77777777" w:rsidR="00B65A50" w:rsidRPr="00F041AD" w:rsidRDefault="00B65A50" w:rsidP="00164A5A">
      <w:pPr>
        <w:pStyle w:val="5BodyText"/>
        <w:rPr>
          <w:color w:val="333333" w:themeColor="background1"/>
        </w:rPr>
      </w:pPr>
    </w:p>
    <w:p w14:paraId="22DE08FE" w14:textId="77777777" w:rsidR="00B65A50" w:rsidRPr="00F041AD" w:rsidRDefault="00B65A50" w:rsidP="00164A5A">
      <w:pPr>
        <w:pStyle w:val="5BodyText"/>
        <w:numPr>
          <w:ilvl w:val="0"/>
          <w:numId w:val="111"/>
        </w:numPr>
        <w:rPr>
          <w:color w:val="333333" w:themeColor="background1"/>
        </w:rPr>
      </w:pPr>
      <w:r w:rsidRPr="00F041AD">
        <w:rPr>
          <w:color w:val="333333" w:themeColor="background1"/>
        </w:rPr>
        <w:t>Xcel’s</w:t>
      </w:r>
      <w:hyperlink r:id="rId158">
        <w:r w:rsidRPr="00F041AD">
          <w:rPr>
            <w:color w:val="333333" w:themeColor="background1"/>
          </w:rPr>
          <w:t xml:space="preserve"> </w:t>
        </w:r>
      </w:hyperlink>
      <w:hyperlink r:id="rId159">
        <w:r w:rsidRPr="00F041AD">
          <w:rPr>
            <w:color w:val="333333" w:themeColor="background1"/>
            <w:u w:val="single"/>
          </w:rPr>
          <w:t>Partners in Energy</w:t>
        </w:r>
      </w:hyperlink>
      <w:r w:rsidRPr="00F041AD">
        <w:rPr>
          <w:color w:val="333333" w:themeColor="background1"/>
        </w:rPr>
        <w:t xml:space="preserve"> is a two-year program to help city, county, nonprofit entities develop energy strategies and host energy challenges. </w:t>
      </w:r>
      <w:r w:rsidRPr="00F041AD">
        <w:rPr>
          <w:rStyle w:val="EndnoteReference"/>
          <w:color w:val="333333" w:themeColor="background1"/>
        </w:rPr>
        <w:endnoteReference w:id="209"/>
      </w:r>
    </w:p>
    <w:p w14:paraId="3B0BAB73" w14:textId="77777777" w:rsidR="00B65A50" w:rsidRPr="00F041AD" w:rsidRDefault="00B65A50" w:rsidP="00164A5A">
      <w:pPr>
        <w:pStyle w:val="5BodyText"/>
        <w:rPr>
          <w:color w:val="333333" w:themeColor="background1"/>
        </w:rPr>
      </w:pPr>
    </w:p>
    <w:p w14:paraId="49BD36F0" w14:textId="77777777" w:rsidR="00B65A50" w:rsidRPr="00F041AD" w:rsidRDefault="006506BB" w:rsidP="00164A5A">
      <w:pPr>
        <w:pStyle w:val="5BodyText"/>
        <w:numPr>
          <w:ilvl w:val="0"/>
          <w:numId w:val="111"/>
        </w:numPr>
        <w:rPr>
          <w:color w:val="333333" w:themeColor="background1"/>
        </w:rPr>
      </w:pPr>
      <w:hyperlink r:id="rId160">
        <w:r w:rsidR="00B65A50" w:rsidRPr="00F041AD">
          <w:rPr>
            <w:color w:val="333333" w:themeColor="background1"/>
            <w:u w:val="single"/>
          </w:rPr>
          <w:t>Schools for Energy Efficiency</w:t>
        </w:r>
      </w:hyperlink>
      <w:r w:rsidR="00B65A50" w:rsidRPr="00F041AD">
        <w:rPr>
          <w:color w:val="333333" w:themeColor="background1"/>
        </w:rPr>
        <w:t xml:space="preserve"> is a program for K-12 schools to save energy through user behavior provides strategies for efficient operations, energy awareness materials for staff and students, training, and utility tracking for immediate and sustainable savings.</w:t>
      </w:r>
      <w:r w:rsidR="00B65A50" w:rsidRPr="00F041AD">
        <w:rPr>
          <w:rStyle w:val="EndnoteReference"/>
          <w:color w:val="333333" w:themeColor="background1"/>
        </w:rPr>
        <w:endnoteReference w:id="210"/>
      </w:r>
    </w:p>
    <w:p w14:paraId="7AF17F0F" w14:textId="77777777" w:rsidR="00B65A50" w:rsidRPr="00F041AD" w:rsidRDefault="00B65A50" w:rsidP="00164A5A">
      <w:pPr>
        <w:pStyle w:val="5BodyText"/>
        <w:rPr>
          <w:color w:val="333333" w:themeColor="background1"/>
        </w:rPr>
      </w:pPr>
    </w:p>
    <w:p w14:paraId="1DA4558B" w14:textId="77777777" w:rsidR="00B65A50" w:rsidRPr="00F041AD" w:rsidRDefault="006506BB" w:rsidP="00164A5A">
      <w:pPr>
        <w:pStyle w:val="5BodyText"/>
        <w:numPr>
          <w:ilvl w:val="0"/>
          <w:numId w:val="111"/>
        </w:numPr>
        <w:rPr>
          <w:color w:val="333333" w:themeColor="background1"/>
        </w:rPr>
      </w:pPr>
      <w:hyperlink r:id="rId161">
        <w:r w:rsidR="00B65A50" w:rsidRPr="00F041AD">
          <w:rPr>
            <w:color w:val="333333" w:themeColor="background1"/>
            <w:u w:val="single"/>
          </w:rPr>
          <w:t>Minnesota ENERGY STAR Challenge</w:t>
        </w:r>
      </w:hyperlink>
      <w:r w:rsidR="00B65A50" w:rsidRPr="00F041AD">
        <w:rPr>
          <w:color w:val="333333" w:themeColor="background1"/>
        </w:rPr>
        <w:t xml:space="preserve"> provides participating building owners with free education and assistance regarding benchmarking, energy reduction strategies, and financing.</w:t>
      </w:r>
      <w:r w:rsidR="00B65A50" w:rsidRPr="00F041AD">
        <w:rPr>
          <w:rStyle w:val="EndnoteReference"/>
          <w:color w:val="333333" w:themeColor="background1"/>
        </w:rPr>
        <w:endnoteReference w:id="211"/>
      </w:r>
    </w:p>
    <w:p w14:paraId="447268F9" w14:textId="77777777" w:rsidR="00B65A50" w:rsidRPr="00F041AD" w:rsidRDefault="00B65A50" w:rsidP="00164A5A">
      <w:pPr>
        <w:pStyle w:val="5BodyText"/>
        <w:rPr>
          <w:color w:val="333333" w:themeColor="background1"/>
        </w:rPr>
      </w:pPr>
    </w:p>
    <w:p w14:paraId="7431EA20" w14:textId="77777777" w:rsidR="00B65A50" w:rsidRPr="00F041AD" w:rsidRDefault="00B65A50" w:rsidP="00164A5A">
      <w:pPr>
        <w:pStyle w:val="5BodyText"/>
        <w:numPr>
          <w:ilvl w:val="0"/>
          <w:numId w:val="111"/>
        </w:numPr>
        <w:rPr>
          <w:color w:val="333333" w:themeColor="background1"/>
        </w:rPr>
      </w:pPr>
      <w:r w:rsidRPr="00F041AD">
        <w:rPr>
          <w:color w:val="333333" w:themeColor="background1"/>
        </w:rPr>
        <w:t xml:space="preserve">Minnesota Valley Electric Cooperative’s </w:t>
      </w:r>
      <w:hyperlink r:id="rId162">
        <w:r w:rsidRPr="00F041AD">
          <w:rPr>
            <w:color w:val="333333" w:themeColor="background1"/>
            <w:u w:val="single"/>
          </w:rPr>
          <w:t>Beat the Peak Energy Challenge</w:t>
        </w:r>
      </w:hyperlink>
      <w:r w:rsidRPr="00F041AD">
        <w:rPr>
          <w:color w:val="333333" w:themeColor="background1"/>
        </w:rPr>
        <w:t xml:space="preserve"> is a reward program for reducing electricity use during peak times.</w:t>
      </w:r>
      <w:r w:rsidRPr="00F041AD">
        <w:rPr>
          <w:rStyle w:val="EndnoteReference"/>
          <w:color w:val="333333" w:themeColor="background1"/>
        </w:rPr>
        <w:endnoteReference w:id="212"/>
      </w:r>
      <w:r w:rsidRPr="00F041AD">
        <w:rPr>
          <w:color w:val="333333" w:themeColor="background1"/>
        </w:rPr>
        <w:t xml:space="preserve"> </w:t>
      </w:r>
    </w:p>
    <w:p w14:paraId="39EFCD61" w14:textId="77777777" w:rsidR="00B65A50" w:rsidRPr="00F041AD" w:rsidRDefault="00B65A50" w:rsidP="00164A5A">
      <w:pPr>
        <w:pStyle w:val="5BodyText"/>
        <w:rPr>
          <w:color w:val="333333" w:themeColor="background1"/>
        </w:rPr>
      </w:pPr>
    </w:p>
    <w:p w14:paraId="3FA6D08A" w14:textId="77777777" w:rsidR="00B65A50" w:rsidRPr="00F041AD" w:rsidRDefault="00B65A50" w:rsidP="00164A5A">
      <w:pPr>
        <w:pStyle w:val="5BodyText"/>
        <w:numPr>
          <w:ilvl w:val="0"/>
          <w:numId w:val="111"/>
        </w:numPr>
        <w:rPr>
          <w:color w:val="333333" w:themeColor="background1"/>
        </w:rPr>
      </w:pPr>
      <w:r w:rsidRPr="00F041AD">
        <w:rPr>
          <w:color w:val="333333" w:themeColor="background1"/>
        </w:rPr>
        <w:lastRenderedPageBreak/>
        <w:t xml:space="preserve">Duluth is participating in the </w:t>
      </w:r>
      <w:hyperlink r:id="rId163">
        <w:r w:rsidRPr="00F041AD">
          <w:rPr>
            <w:color w:val="333333" w:themeColor="background1"/>
            <w:u w:val="single"/>
          </w:rPr>
          <w:t>Georgetown University Energy Prize</w:t>
        </w:r>
      </w:hyperlink>
      <w:r w:rsidRPr="00F041AD">
        <w:rPr>
          <w:color w:val="333333" w:themeColor="background1"/>
        </w:rPr>
        <w:t>, a national program where communities compete to raise the bar on energy efficiency.</w:t>
      </w:r>
      <w:r w:rsidRPr="00F041AD">
        <w:rPr>
          <w:rStyle w:val="EndnoteReference"/>
          <w:color w:val="333333" w:themeColor="background1"/>
        </w:rPr>
        <w:endnoteReference w:id="213"/>
      </w:r>
    </w:p>
    <w:p w14:paraId="7D9B10DA" w14:textId="77777777" w:rsidR="00B65A50" w:rsidRPr="00F041AD" w:rsidRDefault="00B65A50" w:rsidP="00164A5A">
      <w:pPr>
        <w:pStyle w:val="5BodyText"/>
        <w:rPr>
          <w:color w:val="333333" w:themeColor="background1"/>
        </w:rPr>
      </w:pPr>
    </w:p>
    <w:p w14:paraId="40E2696A" w14:textId="77777777" w:rsidR="00B65A50" w:rsidRPr="00F041AD" w:rsidRDefault="00B65A50" w:rsidP="00164A5A">
      <w:pPr>
        <w:pStyle w:val="5BodyText"/>
        <w:numPr>
          <w:ilvl w:val="0"/>
          <w:numId w:val="111"/>
        </w:numPr>
        <w:rPr>
          <w:color w:val="333333" w:themeColor="background1"/>
        </w:rPr>
      </w:pPr>
      <w:r w:rsidRPr="00F041AD">
        <w:rPr>
          <w:color w:val="333333" w:themeColor="background1"/>
        </w:rPr>
        <w:t xml:space="preserve">CARD Behavioral Workshops: Illume Advising, on behalf of the MN Department of Commerce, is hosting semi-annual stakeholder workshops between 2015-2017 to discuss all aspects of behavioral programming.   </w:t>
      </w:r>
    </w:p>
    <w:p w14:paraId="48F2E8D7" w14:textId="77777777" w:rsidR="00B65A50" w:rsidRPr="00F041AD" w:rsidRDefault="00B65A50" w:rsidP="00164A5A">
      <w:pPr>
        <w:pStyle w:val="5BodyText"/>
        <w:rPr>
          <w:color w:val="333333" w:themeColor="background1"/>
        </w:rPr>
      </w:pPr>
    </w:p>
    <w:p w14:paraId="29DB5813" w14:textId="77777777" w:rsidR="00B65A50" w:rsidRPr="00F041AD" w:rsidRDefault="00B65A50" w:rsidP="00164A5A">
      <w:pPr>
        <w:pStyle w:val="5BodyText"/>
        <w:numPr>
          <w:ilvl w:val="0"/>
          <w:numId w:val="111"/>
        </w:numPr>
        <w:rPr>
          <w:color w:val="333333" w:themeColor="background1"/>
        </w:rPr>
      </w:pPr>
      <w:r w:rsidRPr="00F041AD">
        <w:rPr>
          <w:color w:val="333333" w:themeColor="background1"/>
        </w:rPr>
        <w:t xml:space="preserve">The Department of Military Affairs (DMA) implemented an </w:t>
      </w:r>
      <w:hyperlink r:id="rId164" w:history="1">
        <w:r w:rsidRPr="00F041AD">
          <w:rPr>
            <w:rStyle w:val="Hyperlink"/>
            <w:color w:val="333333" w:themeColor="background1"/>
          </w:rPr>
          <w:t>energy competition</w:t>
        </w:r>
      </w:hyperlink>
      <w:r w:rsidRPr="00F041AD">
        <w:rPr>
          <w:color w:val="333333" w:themeColor="background1"/>
        </w:rPr>
        <w:t xml:space="preserve"> between its 63 armories across the state with a goal of 3 percent energy reduction and a $10,000 facility improvement prize annually for the armory with the largest percentage reduction.</w:t>
      </w:r>
      <w:r w:rsidRPr="00F041AD">
        <w:rPr>
          <w:rStyle w:val="EndnoteReference"/>
          <w:color w:val="333333" w:themeColor="background1"/>
        </w:rPr>
        <w:endnoteReference w:id="214"/>
      </w:r>
      <w:r w:rsidRPr="00F041AD">
        <w:rPr>
          <w:color w:val="333333" w:themeColor="background1"/>
        </w:rPr>
        <w:t xml:space="preserve"> DMA used B3 Benchmarking to track progress within the competition.</w:t>
      </w:r>
    </w:p>
    <w:p w14:paraId="5ECE8DD1" w14:textId="77777777" w:rsidR="00B65A50" w:rsidRPr="00F041AD" w:rsidRDefault="00B65A50" w:rsidP="00164A5A">
      <w:pPr>
        <w:pStyle w:val="5BodyText"/>
        <w:rPr>
          <w:color w:val="333333" w:themeColor="background1"/>
        </w:rPr>
      </w:pPr>
    </w:p>
    <w:p w14:paraId="35237E9E" w14:textId="77777777" w:rsidR="00B65A50" w:rsidRPr="00F041AD" w:rsidRDefault="00B65A50" w:rsidP="00164A5A">
      <w:pPr>
        <w:pStyle w:val="5BodyText"/>
        <w:rPr>
          <w:color w:val="333333" w:themeColor="background1"/>
        </w:rPr>
      </w:pPr>
    </w:p>
    <w:p w14:paraId="2DBD3842" w14:textId="77777777" w:rsidR="00B65A50" w:rsidRPr="00F041AD" w:rsidRDefault="00B65A50" w:rsidP="00164A5A">
      <w:pPr>
        <w:pStyle w:val="5BodyText"/>
        <w:rPr>
          <w:color w:val="333333" w:themeColor="background1"/>
        </w:rPr>
      </w:pPr>
    </w:p>
    <w:p w14:paraId="4F24130B" w14:textId="77777777" w:rsidR="00B65A50" w:rsidRPr="00F041AD" w:rsidRDefault="00B65A50" w:rsidP="00164A5A">
      <w:pPr>
        <w:pStyle w:val="5BodyText"/>
        <w:rPr>
          <w:bCs/>
          <w:i/>
          <w:iCs/>
          <w:color w:val="333333" w:themeColor="background1"/>
        </w:rPr>
      </w:pPr>
      <w:r w:rsidRPr="00F041AD">
        <w:rPr>
          <w:b/>
          <w:bCs/>
          <w:i/>
          <w:iCs/>
          <w:color w:val="333333" w:themeColor="background1"/>
        </w:rPr>
        <w:t>Other related resources</w:t>
      </w:r>
    </w:p>
    <w:p w14:paraId="35FB6962" w14:textId="77777777" w:rsidR="00B65A50" w:rsidRPr="00F041AD" w:rsidRDefault="006506BB" w:rsidP="00164A5A">
      <w:pPr>
        <w:pStyle w:val="5BodyText"/>
        <w:numPr>
          <w:ilvl w:val="0"/>
          <w:numId w:val="112"/>
        </w:numPr>
        <w:rPr>
          <w:color w:val="333333" w:themeColor="background1"/>
        </w:rPr>
      </w:pPr>
      <w:hyperlink r:id="rId165">
        <w:r w:rsidR="00B65A50" w:rsidRPr="00F041AD">
          <w:rPr>
            <w:color w:val="333333" w:themeColor="background1"/>
            <w:u w:val="single"/>
          </w:rPr>
          <w:t>SEE Action</w:t>
        </w:r>
      </w:hyperlink>
      <w:r w:rsidR="00B65A50" w:rsidRPr="00F041AD">
        <w:rPr>
          <w:color w:val="333333" w:themeColor="background1"/>
          <w:u w:val="single"/>
        </w:rPr>
        <w:t xml:space="preserve"> provides an overview of behavior-based approaches to saving energy.</w:t>
      </w:r>
      <w:r w:rsidR="00B65A50" w:rsidRPr="00F041AD">
        <w:rPr>
          <w:rStyle w:val="EndnoteReference"/>
          <w:color w:val="333333" w:themeColor="background1"/>
          <w:u w:val="single"/>
        </w:rPr>
        <w:endnoteReference w:id="215"/>
      </w:r>
    </w:p>
    <w:p w14:paraId="0906AD05" w14:textId="77777777" w:rsidR="00B65A50" w:rsidRPr="00F041AD" w:rsidRDefault="00B65A50" w:rsidP="00164A5A">
      <w:pPr>
        <w:pStyle w:val="5BodyText"/>
        <w:rPr>
          <w:color w:val="333333" w:themeColor="background1"/>
        </w:rPr>
      </w:pPr>
    </w:p>
    <w:p w14:paraId="6028592E" w14:textId="77777777" w:rsidR="00B65A50" w:rsidRPr="00F041AD" w:rsidRDefault="006506BB" w:rsidP="00164A5A">
      <w:pPr>
        <w:pStyle w:val="5BodyText"/>
        <w:numPr>
          <w:ilvl w:val="0"/>
          <w:numId w:val="112"/>
        </w:numPr>
        <w:rPr>
          <w:color w:val="333333" w:themeColor="background1"/>
        </w:rPr>
      </w:pPr>
      <w:hyperlink r:id="rId166" w:history="1">
        <w:r w:rsidR="00B65A50" w:rsidRPr="00F041AD">
          <w:rPr>
            <w:rStyle w:val="Hyperlink"/>
            <w:color w:val="333333" w:themeColor="background1"/>
          </w:rPr>
          <w:t xml:space="preserve">MINDSPACE </w:t>
        </w:r>
        <w:proofErr w:type="spellStart"/>
        <w:r w:rsidR="00B65A50" w:rsidRPr="00F041AD">
          <w:rPr>
            <w:rStyle w:val="Hyperlink"/>
            <w:color w:val="333333" w:themeColor="background1"/>
          </w:rPr>
          <w:t>Behavioural</w:t>
        </w:r>
        <w:proofErr w:type="spellEnd"/>
        <w:r w:rsidR="00B65A50" w:rsidRPr="00F041AD">
          <w:rPr>
            <w:rStyle w:val="Hyperlink"/>
            <w:color w:val="333333" w:themeColor="background1"/>
          </w:rPr>
          <w:t xml:space="preserve"> Economics</w:t>
        </w:r>
      </w:hyperlink>
      <w:r w:rsidR="00B65A50" w:rsidRPr="00F041AD">
        <w:rPr>
          <w:color w:val="333333" w:themeColor="background1"/>
        </w:rPr>
        <w:t>, established by the United Kingdom’s Institute for Government and the Cabinet Office, provides insights into how behavior change can influence public policy outcomes.</w:t>
      </w:r>
      <w:r w:rsidR="00B65A50" w:rsidRPr="00F041AD">
        <w:rPr>
          <w:rStyle w:val="EndnoteReference"/>
          <w:color w:val="333333" w:themeColor="background1"/>
        </w:rPr>
        <w:endnoteReference w:id="216"/>
      </w:r>
      <w:r w:rsidR="00B65A50" w:rsidRPr="00F041AD">
        <w:rPr>
          <w:color w:val="333333" w:themeColor="background1"/>
        </w:rPr>
        <w:t xml:space="preserve"> </w:t>
      </w:r>
    </w:p>
    <w:p w14:paraId="06F214AD" w14:textId="77777777" w:rsidR="00B65A50" w:rsidRPr="00F041AD" w:rsidRDefault="00B65A50" w:rsidP="00164A5A">
      <w:pPr>
        <w:pStyle w:val="5BodyText"/>
        <w:rPr>
          <w:color w:val="333333" w:themeColor="background1"/>
        </w:rPr>
      </w:pPr>
    </w:p>
    <w:p w14:paraId="100FF7F5" w14:textId="77777777" w:rsidR="00B65A50" w:rsidRPr="00F041AD" w:rsidRDefault="006506BB" w:rsidP="00164A5A">
      <w:pPr>
        <w:pStyle w:val="5BodyText"/>
        <w:numPr>
          <w:ilvl w:val="0"/>
          <w:numId w:val="112"/>
        </w:numPr>
        <w:rPr>
          <w:color w:val="333333" w:themeColor="background1"/>
        </w:rPr>
      </w:pPr>
      <w:hyperlink r:id="rId167" w:history="1">
        <w:r w:rsidR="00B65A50" w:rsidRPr="00F041AD">
          <w:rPr>
            <w:rStyle w:val="Hyperlink"/>
            <w:color w:val="333333" w:themeColor="background1"/>
          </w:rPr>
          <w:t>Tools of Change</w:t>
        </w:r>
      </w:hyperlink>
      <w:r w:rsidR="00B65A50" w:rsidRPr="00F041AD">
        <w:rPr>
          <w:color w:val="333333" w:themeColor="background1"/>
        </w:rPr>
        <w:t xml:space="preserve"> offers case studies, webinars, workshops and other resources related to community-based social marketing. </w:t>
      </w:r>
      <w:r w:rsidR="00B65A50" w:rsidRPr="00F041AD">
        <w:rPr>
          <w:rStyle w:val="EndnoteReference"/>
          <w:color w:val="333333" w:themeColor="background1"/>
        </w:rPr>
        <w:endnoteReference w:id="217"/>
      </w:r>
    </w:p>
    <w:p w14:paraId="4FA833F1" w14:textId="77777777" w:rsidR="00B65A50" w:rsidRPr="00F041AD" w:rsidRDefault="00B65A50" w:rsidP="00164A5A">
      <w:pPr>
        <w:pStyle w:val="5BodyText"/>
        <w:rPr>
          <w:color w:val="333333" w:themeColor="background1"/>
        </w:rPr>
      </w:pPr>
    </w:p>
    <w:p w14:paraId="02DD7866" w14:textId="00D14E5E" w:rsidR="00B65A50" w:rsidRPr="00F041AD" w:rsidRDefault="00B65A50" w:rsidP="00164A5A">
      <w:pPr>
        <w:pStyle w:val="5BodyText"/>
        <w:numPr>
          <w:ilvl w:val="0"/>
          <w:numId w:val="112"/>
        </w:numPr>
        <w:rPr>
          <w:rStyle w:val="Hyperlink"/>
          <w:color w:val="333333" w:themeColor="background1"/>
        </w:rPr>
      </w:pPr>
      <w:r w:rsidRPr="00F041AD">
        <w:rPr>
          <w:color w:val="333333" w:themeColor="background1"/>
        </w:rPr>
        <w:t xml:space="preserve">The </w:t>
      </w:r>
      <w:hyperlink r:id="rId168" w:history="1">
        <w:r w:rsidRPr="00F041AD">
          <w:rPr>
            <w:rStyle w:val="Hyperlink"/>
            <w:color w:val="333333" w:themeColor="background1"/>
          </w:rPr>
          <w:t>Fostering Sustainable Behavior website</w:t>
        </w:r>
      </w:hyperlink>
      <w:r w:rsidRPr="00F041AD">
        <w:rPr>
          <w:color w:val="333333" w:themeColor="background1"/>
        </w:rPr>
        <w:t xml:space="preserve"> offers articles, case studies, and forums related to community-based social marketing.</w:t>
      </w:r>
      <w:r w:rsidRPr="00F041AD">
        <w:rPr>
          <w:rStyle w:val="EndnoteReference"/>
          <w:color w:val="333333" w:themeColor="background1"/>
        </w:rPr>
        <w:endnoteReference w:id="218"/>
      </w:r>
    </w:p>
    <w:p w14:paraId="66A78623" w14:textId="3E2E12AD" w:rsidR="00B65A50" w:rsidRPr="00F041AD" w:rsidRDefault="00B65A50" w:rsidP="00164A5A">
      <w:pPr>
        <w:pStyle w:val="5BodyText"/>
        <w:rPr>
          <w:rFonts w:eastAsia="Calibri" w:cs="Calibri"/>
          <w:b/>
          <w:color w:val="333333" w:themeColor="background1"/>
        </w:rPr>
      </w:pPr>
      <w:bookmarkStart w:id="223" w:name="h.2zbgiuw" w:colFirst="0" w:colLast="0"/>
      <w:bookmarkStart w:id="224" w:name="_Toc317317604"/>
      <w:bookmarkStart w:id="225" w:name="_Toc318126179"/>
      <w:bookmarkStart w:id="226" w:name="_Toc319794284"/>
      <w:bookmarkEnd w:id="223"/>
    </w:p>
    <w:p w14:paraId="09E59A51" w14:textId="7B15C6FE" w:rsidR="00B65A50" w:rsidRPr="00F041AD" w:rsidRDefault="00725676" w:rsidP="008B39AC">
      <w:pPr>
        <w:pStyle w:val="StrategyName"/>
      </w:pPr>
      <w:bookmarkStart w:id="227" w:name="_Toc322961647"/>
      <w:bookmarkStart w:id="228" w:name="_Toc322962048"/>
      <w:bookmarkStart w:id="229" w:name="_Toc322962235"/>
      <w:r>
        <w:t>C6</w:t>
      </w:r>
      <w:r w:rsidR="00B65A50" w:rsidRPr="00F041AD">
        <w:t>. Identify opportunities for thermal energy grids</w:t>
      </w:r>
      <w:bookmarkEnd w:id="224"/>
      <w:bookmarkEnd w:id="225"/>
      <w:bookmarkEnd w:id="226"/>
      <w:bookmarkEnd w:id="227"/>
      <w:bookmarkEnd w:id="228"/>
      <w:bookmarkEnd w:id="229"/>
    </w:p>
    <w:p w14:paraId="485DD02B" w14:textId="77777777" w:rsidR="00B65A50" w:rsidRPr="00F041AD" w:rsidRDefault="00B65A50" w:rsidP="00164A5A">
      <w:pPr>
        <w:pStyle w:val="5BodyText"/>
        <w:rPr>
          <w:b/>
          <w:color w:val="333333" w:themeColor="background1"/>
        </w:rPr>
      </w:pPr>
    </w:p>
    <w:p w14:paraId="5207EB0B" w14:textId="190D39F0" w:rsidR="00B65A50" w:rsidRPr="00F041AD" w:rsidRDefault="00B65A50" w:rsidP="00164A5A">
      <w:pPr>
        <w:pStyle w:val="5BodyText"/>
        <w:rPr>
          <w:i/>
          <w:iCs/>
          <w:color w:val="333333" w:themeColor="background1"/>
        </w:rPr>
      </w:pPr>
      <w:r w:rsidRPr="00F041AD">
        <w:rPr>
          <w:b/>
          <w:i/>
          <w:iCs/>
          <w:color w:val="333333" w:themeColor="background1"/>
        </w:rPr>
        <w:t>Strategy overview</w:t>
      </w:r>
    </w:p>
    <w:p w14:paraId="14D0F4A4" w14:textId="77777777" w:rsidR="00B65A50" w:rsidRPr="00F041AD" w:rsidRDefault="00B65A50" w:rsidP="00164A5A">
      <w:pPr>
        <w:pStyle w:val="5BodyText"/>
        <w:rPr>
          <w:color w:val="333333" w:themeColor="background1"/>
        </w:rPr>
      </w:pPr>
      <w:r w:rsidRPr="00F041AD">
        <w:rPr>
          <w:color w:val="333333" w:themeColor="background1"/>
        </w:rPr>
        <w:t>Thermal energy grids, also referred to as district energy, are a significant opportunity for energy savings that have been underappreciated due to perceived complexity. District energy involves producing steam, hot water, or chilled water at a central plant, which is then piped underground to individual buildings for heating, hot water heating, or air conditioning. This reduces the need for individual heating or cooling systems, and increases energy efficiency. In the long-term, district energy is one of the most cost-effective ways to achieve energy efficiency on a broad scale</w:t>
      </w:r>
      <w:r w:rsidRPr="00F041AD">
        <w:rPr>
          <w:rStyle w:val="EndnoteReference"/>
          <w:rFonts w:asciiTheme="minorHAnsi" w:hAnsiTheme="minorHAnsi"/>
          <w:color w:val="333333" w:themeColor="background1"/>
        </w:rPr>
        <w:endnoteReference w:id="219"/>
      </w:r>
      <w:r w:rsidRPr="00F041AD">
        <w:rPr>
          <w:color w:val="333333" w:themeColor="background1"/>
        </w:rPr>
        <w:t xml:space="preserve">, and can result in 30 to 50 percent greenhouse gas emissions reductions, according to the United Nations Environment </w:t>
      </w:r>
      <w:proofErr w:type="spellStart"/>
      <w:r w:rsidRPr="00F041AD">
        <w:rPr>
          <w:color w:val="333333" w:themeColor="background1"/>
        </w:rPr>
        <w:t>Programme</w:t>
      </w:r>
      <w:proofErr w:type="spellEnd"/>
      <w:r w:rsidRPr="00F041AD">
        <w:rPr>
          <w:color w:val="333333" w:themeColor="background1"/>
        </w:rPr>
        <w:t xml:space="preserve"> (UNEP).</w:t>
      </w:r>
      <w:r w:rsidRPr="00F041AD">
        <w:rPr>
          <w:rStyle w:val="EndnoteReference"/>
          <w:rFonts w:asciiTheme="minorHAnsi" w:hAnsiTheme="minorHAnsi"/>
          <w:color w:val="333333" w:themeColor="background1"/>
        </w:rPr>
        <w:endnoteReference w:id="220"/>
      </w:r>
      <w:r w:rsidRPr="00F041AD">
        <w:rPr>
          <w:color w:val="333333" w:themeColor="background1"/>
        </w:rPr>
        <w:t xml:space="preserve"> Minnesota is already a leader in district </w:t>
      </w:r>
      <w:r w:rsidRPr="00F041AD">
        <w:rPr>
          <w:color w:val="333333" w:themeColor="background1"/>
        </w:rPr>
        <w:lastRenderedPageBreak/>
        <w:t>energy with significant opportunity to expand existing networks. In particular, Minnesota can leverage nascent thermal grids and waste heat to integrate energy systems and improve energy efficiency.</w:t>
      </w:r>
    </w:p>
    <w:p w14:paraId="2F4603C8" w14:textId="77777777" w:rsidR="00B65A50" w:rsidRPr="00F041AD" w:rsidRDefault="00B65A50" w:rsidP="00164A5A">
      <w:pPr>
        <w:pStyle w:val="5BodyText"/>
        <w:rPr>
          <w:color w:val="333333" w:themeColor="background1"/>
        </w:rPr>
      </w:pPr>
    </w:p>
    <w:p w14:paraId="2C0BDF15" w14:textId="77777777" w:rsidR="00B65A50" w:rsidRPr="00F041AD" w:rsidRDefault="00B65A50" w:rsidP="00164A5A">
      <w:pPr>
        <w:pStyle w:val="5BodyText"/>
        <w:rPr>
          <w:color w:val="333333" w:themeColor="background1"/>
        </w:rPr>
      </w:pPr>
    </w:p>
    <w:p w14:paraId="5E79F0C9" w14:textId="77777777" w:rsidR="00B65A50" w:rsidRPr="00F041AD" w:rsidRDefault="00B65A50" w:rsidP="00164A5A">
      <w:pPr>
        <w:pStyle w:val="5BodyText"/>
        <w:rPr>
          <w:bCs/>
          <w:i/>
          <w:iCs/>
          <w:color w:val="333333" w:themeColor="background1"/>
        </w:rPr>
      </w:pPr>
      <w:r w:rsidRPr="00F041AD">
        <w:rPr>
          <w:b/>
          <w:bCs/>
          <w:i/>
          <w:iCs/>
          <w:color w:val="333333" w:themeColor="background1"/>
        </w:rPr>
        <w:t>Specific actions for strategy implementation</w:t>
      </w:r>
    </w:p>
    <w:p w14:paraId="071725CA" w14:textId="4B0C6A03" w:rsidR="00B65A50" w:rsidRPr="00F041AD" w:rsidRDefault="00B65A50" w:rsidP="00164A5A">
      <w:pPr>
        <w:pStyle w:val="5BodyText"/>
        <w:numPr>
          <w:ilvl w:val="0"/>
          <w:numId w:val="113"/>
        </w:numPr>
        <w:rPr>
          <w:b/>
          <w:color w:val="333333" w:themeColor="background1"/>
        </w:rPr>
      </w:pPr>
      <w:r w:rsidRPr="00F041AD">
        <w:rPr>
          <w:b/>
          <w:color w:val="333333" w:themeColor="background1"/>
        </w:rPr>
        <w:t xml:space="preserve">Identify locations of existing thermal grids. </w:t>
      </w:r>
      <w:r w:rsidRPr="00F041AD">
        <w:rPr>
          <w:color w:val="333333" w:themeColor="background1"/>
        </w:rPr>
        <w:t xml:space="preserve">Many local decision-makers and planners are unaware of existing thermal grids and how they could be integrated into district energy systems. Identifying existing thermal grids would allow local governments to take into account opportunities to expand district energy systems or update related infrastructure when maintenance is required. </w:t>
      </w:r>
      <w:r w:rsidRPr="00F041AD">
        <w:rPr>
          <w:color w:val="333333" w:themeColor="background1"/>
        </w:rPr>
        <w:fldChar w:fldCharType="begin"/>
      </w:r>
      <w:r w:rsidRPr="00F041AD">
        <w:rPr>
          <w:color w:val="333333" w:themeColor="background1"/>
        </w:rPr>
        <w:instrText xml:space="preserve"> REF _Ref322848413 \h </w:instrText>
      </w:r>
      <w:r w:rsidRPr="00F041AD">
        <w:rPr>
          <w:color w:val="333333" w:themeColor="background1"/>
        </w:rPr>
      </w:r>
      <w:r w:rsidRPr="00F041AD">
        <w:rPr>
          <w:color w:val="333333" w:themeColor="background1"/>
        </w:rPr>
        <w:fldChar w:fldCharType="separate"/>
      </w:r>
      <w:r w:rsidR="00171E58" w:rsidRPr="00F041AD">
        <w:rPr>
          <w:color w:val="333333" w:themeColor="background1"/>
        </w:rPr>
        <w:t xml:space="preserve">Figure </w:t>
      </w:r>
      <w:r w:rsidR="00171E58">
        <w:rPr>
          <w:noProof/>
          <w:color w:val="333333" w:themeColor="background1"/>
        </w:rPr>
        <w:t>17</w:t>
      </w:r>
      <w:r w:rsidRPr="00F041AD">
        <w:rPr>
          <w:color w:val="333333" w:themeColor="background1"/>
        </w:rPr>
        <w:fldChar w:fldCharType="end"/>
      </w:r>
      <w:r w:rsidRPr="00F041AD">
        <w:rPr>
          <w:color w:val="333333" w:themeColor="background1"/>
        </w:rPr>
        <w:t xml:space="preserve"> below illustrates what champions and key participants may build upon as they identify existing thermal grids.</w:t>
      </w:r>
    </w:p>
    <w:p w14:paraId="1E1176E6" w14:textId="77777777" w:rsidR="00B65A50" w:rsidRPr="00F041AD" w:rsidRDefault="00B65A50" w:rsidP="00164A5A">
      <w:pPr>
        <w:pStyle w:val="5BodyText"/>
        <w:ind w:left="720"/>
        <w:rPr>
          <w:b/>
          <w:color w:val="333333" w:themeColor="background1"/>
        </w:rPr>
      </w:pPr>
    </w:p>
    <w:p w14:paraId="1F0B1818" w14:textId="77777777" w:rsidR="00B65A50" w:rsidRPr="00F041AD" w:rsidRDefault="00B65A50" w:rsidP="00164A5A">
      <w:pPr>
        <w:pStyle w:val="5BodyText"/>
        <w:ind w:left="720"/>
        <w:rPr>
          <w:b/>
          <w:color w:val="333333" w:themeColor="background1"/>
        </w:rPr>
      </w:pPr>
      <w:r w:rsidRPr="00F041AD">
        <w:rPr>
          <w:b/>
          <w:color w:val="333333" w:themeColor="background1"/>
        </w:rPr>
        <w:t xml:space="preserve">Champions/Key Participants: </w:t>
      </w:r>
    </w:p>
    <w:p w14:paraId="07A80F96"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Metropolitan Council</w:t>
      </w:r>
    </w:p>
    <w:p w14:paraId="556AB02D"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Ever-Green Energy</w:t>
      </w:r>
    </w:p>
    <w:p w14:paraId="78F5A182"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International District Energy Association</w:t>
      </w:r>
    </w:p>
    <w:p w14:paraId="0241FF67"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Ecolibrium3</w:t>
      </w:r>
    </w:p>
    <w:p w14:paraId="38EFB99B" w14:textId="5138CC48"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Minnesota Pollution Control Agency via </w:t>
      </w:r>
      <w:proofErr w:type="spellStart"/>
      <w:r w:rsidRPr="00F041AD">
        <w:rPr>
          <w:color w:val="333333" w:themeColor="background1"/>
        </w:rPr>
        <w:t>GreenStep</w:t>
      </w:r>
      <w:proofErr w:type="spellEnd"/>
      <w:r w:rsidRPr="00F041AD">
        <w:rPr>
          <w:color w:val="333333" w:themeColor="background1"/>
        </w:rPr>
        <w:t xml:space="preserve"> Cities </w:t>
      </w:r>
    </w:p>
    <w:p w14:paraId="5FB04913"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Great Plains Institute</w:t>
      </w:r>
    </w:p>
    <w:p w14:paraId="08F03F9D" w14:textId="77777777" w:rsidR="00B65A50" w:rsidRPr="00F041AD" w:rsidRDefault="00B65A50" w:rsidP="00164A5A">
      <w:pPr>
        <w:rPr>
          <w:color w:val="333333" w:themeColor="background1"/>
          <w:sz w:val="20"/>
        </w:rPr>
      </w:pPr>
      <w:r w:rsidRPr="00F041AD">
        <w:rPr>
          <w:color w:val="333333" w:themeColor="background1"/>
        </w:rPr>
        <w:br w:type="page"/>
      </w:r>
    </w:p>
    <w:p w14:paraId="03C5181F" w14:textId="77777777" w:rsidR="00B65A50" w:rsidRPr="00F041AD" w:rsidRDefault="00B65A50" w:rsidP="00164A5A">
      <w:pPr>
        <w:pStyle w:val="5BodyText"/>
        <w:rPr>
          <w:color w:val="333333" w:themeColor="background1"/>
        </w:rPr>
      </w:pPr>
    </w:p>
    <w:p w14:paraId="3B3B0593" w14:textId="77777777" w:rsidR="00B65A50" w:rsidRPr="00F041AD" w:rsidRDefault="00B65A50" w:rsidP="00164A5A">
      <w:pPr>
        <w:pStyle w:val="5BodyText"/>
        <w:rPr>
          <w:b/>
          <w:color w:val="333333" w:themeColor="background1"/>
        </w:rPr>
      </w:pPr>
    </w:p>
    <w:p w14:paraId="6251A79A" w14:textId="02268ADD" w:rsidR="00B65A50" w:rsidRPr="00F041AD" w:rsidRDefault="00B65A50" w:rsidP="00164A5A">
      <w:pPr>
        <w:pStyle w:val="7Caption"/>
        <w:rPr>
          <w:b/>
          <w:color w:val="333333" w:themeColor="background1"/>
        </w:rPr>
      </w:pPr>
      <w:bookmarkStart w:id="230" w:name="_Ref322848413"/>
      <w:bookmarkStart w:id="231" w:name="_Toc322958526"/>
      <w:r w:rsidRPr="00F041AD">
        <w:rPr>
          <w:color w:val="333333" w:themeColor="background1"/>
        </w:rPr>
        <w:t xml:space="preserve">Figure </w:t>
      </w:r>
      <w:r w:rsidRPr="00F041AD">
        <w:rPr>
          <w:color w:val="333333" w:themeColor="background1"/>
        </w:rPr>
        <w:fldChar w:fldCharType="begin"/>
      </w:r>
      <w:r w:rsidRPr="00F041AD">
        <w:rPr>
          <w:color w:val="333333" w:themeColor="background1"/>
        </w:rPr>
        <w:instrText xml:space="preserve"> SEQ Figure \* ARABIC </w:instrText>
      </w:r>
      <w:r w:rsidRPr="00F041AD">
        <w:rPr>
          <w:color w:val="333333" w:themeColor="background1"/>
        </w:rPr>
        <w:fldChar w:fldCharType="separate"/>
      </w:r>
      <w:r w:rsidR="00171E58">
        <w:rPr>
          <w:noProof/>
          <w:color w:val="333333" w:themeColor="background1"/>
        </w:rPr>
        <w:t>17</w:t>
      </w:r>
      <w:r w:rsidRPr="00F041AD">
        <w:rPr>
          <w:noProof/>
          <w:color w:val="333333" w:themeColor="background1"/>
        </w:rPr>
        <w:fldChar w:fldCharType="end"/>
      </w:r>
      <w:bookmarkEnd w:id="230"/>
      <w:r w:rsidR="005C4F4F" w:rsidRPr="00F041AD">
        <w:rPr>
          <w:noProof/>
          <w:color w:val="333333" w:themeColor="background1"/>
        </w:rPr>
        <w:t>:</w:t>
      </w:r>
      <w:r w:rsidRPr="00F041AD">
        <w:rPr>
          <w:color w:val="333333" w:themeColor="background1"/>
        </w:rPr>
        <w:t xml:space="preserve"> Selected university, hospital, and municipal thermal energy projects in Minnesota by city, as of January 2016</w:t>
      </w:r>
      <w:bookmarkEnd w:id="231"/>
    </w:p>
    <w:p w14:paraId="7197988F" w14:textId="77777777" w:rsidR="00B65A50" w:rsidRPr="00F041AD" w:rsidRDefault="00B65A50" w:rsidP="00164A5A">
      <w:pPr>
        <w:pStyle w:val="5BodyText"/>
        <w:rPr>
          <w:color w:val="333333" w:themeColor="background1"/>
        </w:rPr>
      </w:pPr>
      <w:r w:rsidRPr="00F041AD">
        <w:rPr>
          <w:noProof/>
          <w:color w:val="333333" w:themeColor="background1"/>
          <w:lang w:eastAsia="en-US"/>
        </w:rPr>
        <w:drawing>
          <wp:inline distT="0" distB="0" distL="0" distR="0" wp14:anchorId="19CBFA3A" wp14:editId="414B3E7D">
            <wp:extent cx="4343337" cy="4563322"/>
            <wp:effectExtent l="0" t="0" r="635"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69">
                      <a:extLst>
                        <a:ext uri="{28A0092B-C50C-407E-A947-70E740481C1C}">
                          <a14:useLocalDpi xmlns:a14="http://schemas.microsoft.com/office/drawing/2010/main" val="0"/>
                        </a:ext>
                      </a:extLst>
                    </a:blip>
                    <a:srcRect l="16512" t="3578" r="14658"/>
                    <a:stretch/>
                  </pic:blipFill>
                  <pic:spPr bwMode="auto">
                    <a:xfrm>
                      <a:off x="0" y="0"/>
                      <a:ext cx="4344088" cy="4564111"/>
                    </a:xfrm>
                    <a:prstGeom prst="rect">
                      <a:avLst/>
                    </a:prstGeom>
                    <a:ln>
                      <a:noFill/>
                    </a:ln>
                    <a:extLst>
                      <a:ext uri="{53640926-AAD7-44D8-BBD7-CCE9431645EC}">
                        <a14:shadowObscured xmlns:a14="http://schemas.microsoft.com/office/drawing/2010/main"/>
                      </a:ext>
                    </a:extLst>
                  </pic:spPr>
                </pic:pic>
              </a:graphicData>
            </a:graphic>
          </wp:inline>
        </w:drawing>
      </w:r>
    </w:p>
    <w:p w14:paraId="5FC48914" w14:textId="77777777" w:rsidR="00B65A50" w:rsidRPr="00F041AD" w:rsidRDefault="00B65A50" w:rsidP="00164A5A">
      <w:pPr>
        <w:pStyle w:val="5BodyText"/>
        <w:rPr>
          <w:color w:val="333333" w:themeColor="background1"/>
        </w:rPr>
      </w:pPr>
    </w:p>
    <w:p w14:paraId="11CBAA19" w14:textId="77777777" w:rsidR="00B65A50" w:rsidRPr="00F041AD" w:rsidRDefault="00B65A50" w:rsidP="00164A5A">
      <w:pPr>
        <w:pStyle w:val="5BodyText"/>
        <w:rPr>
          <w:color w:val="333333" w:themeColor="background1"/>
        </w:rPr>
      </w:pPr>
    </w:p>
    <w:p w14:paraId="4D492ECA" w14:textId="77777777" w:rsidR="00B65A50" w:rsidRPr="00F041AD" w:rsidRDefault="00B65A50" w:rsidP="00164A5A">
      <w:pPr>
        <w:pStyle w:val="5BodyText"/>
        <w:numPr>
          <w:ilvl w:val="0"/>
          <w:numId w:val="113"/>
        </w:numPr>
        <w:rPr>
          <w:b/>
          <w:color w:val="333333" w:themeColor="background1"/>
        </w:rPr>
      </w:pPr>
      <w:r w:rsidRPr="00F041AD">
        <w:rPr>
          <w:b/>
          <w:color w:val="333333" w:themeColor="background1"/>
        </w:rPr>
        <w:t xml:space="preserve">Analyze and map opportunities for waste heat. </w:t>
      </w:r>
      <w:r w:rsidRPr="00F041AD">
        <w:rPr>
          <w:color w:val="333333" w:themeColor="background1"/>
        </w:rPr>
        <w:t>In addition to district heat, district cooling and thermal storage improve system efficiency and can be effective load balancing tools to reduce costs from peak energy use.</w:t>
      </w:r>
    </w:p>
    <w:p w14:paraId="0B94CD95" w14:textId="77777777" w:rsidR="00B65A50" w:rsidRPr="00F041AD" w:rsidRDefault="00B65A50" w:rsidP="00164A5A">
      <w:pPr>
        <w:pStyle w:val="5BodyText"/>
        <w:rPr>
          <w:color w:val="333333" w:themeColor="background1"/>
        </w:rPr>
      </w:pPr>
    </w:p>
    <w:p w14:paraId="669F8A91" w14:textId="77777777" w:rsidR="00B65A50" w:rsidRPr="00F041AD" w:rsidRDefault="00B65A50" w:rsidP="00164A5A">
      <w:pPr>
        <w:pStyle w:val="5BodyText"/>
        <w:ind w:left="720"/>
        <w:rPr>
          <w:color w:val="333333" w:themeColor="background1"/>
        </w:rPr>
      </w:pPr>
      <w:r w:rsidRPr="00F041AD">
        <w:rPr>
          <w:b/>
          <w:color w:val="333333" w:themeColor="background1"/>
        </w:rPr>
        <w:t>Champions/Key Participants:</w:t>
      </w:r>
      <w:r w:rsidRPr="00F041AD">
        <w:rPr>
          <w:color w:val="333333" w:themeColor="background1"/>
        </w:rPr>
        <w:t xml:space="preserve"> </w:t>
      </w:r>
    </w:p>
    <w:p w14:paraId="1193DAC9"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w:t>
      </w:r>
      <w:proofErr w:type="spellStart"/>
      <w:r w:rsidRPr="00F041AD">
        <w:rPr>
          <w:color w:val="333333" w:themeColor="background1"/>
        </w:rPr>
        <w:t>MetCouncil</w:t>
      </w:r>
      <w:proofErr w:type="spellEnd"/>
    </w:p>
    <w:p w14:paraId="703CF907"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Ever-Green Energy</w:t>
      </w:r>
    </w:p>
    <w:p w14:paraId="6E2A8198"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International District Energy Association</w:t>
      </w:r>
    </w:p>
    <w:p w14:paraId="6FBA8E64"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Minnesota Department of Commerce</w:t>
      </w:r>
    </w:p>
    <w:p w14:paraId="62F57B00" w14:textId="77777777" w:rsidR="00B65A50" w:rsidRPr="00F041AD" w:rsidRDefault="00B65A50" w:rsidP="00164A5A">
      <w:pPr>
        <w:pStyle w:val="5BodyText"/>
        <w:ind w:left="720"/>
        <w:rPr>
          <w:b/>
          <w:color w:val="333333" w:themeColor="background1"/>
        </w:rPr>
      </w:pPr>
      <w:r w:rsidRPr="00F041AD">
        <w:rPr>
          <w:rFonts w:asciiTheme="majorHAnsi" w:hAnsiTheme="majorHAnsi"/>
          <w:color w:val="333333" w:themeColor="background1"/>
        </w:rPr>
        <w:t>-</w:t>
      </w:r>
      <w:r w:rsidRPr="00F041AD">
        <w:rPr>
          <w:color w:val="333333" w:themeColor="background1"/>
        </w:rPr>
        <w:t xml:space="preserve"> Great Plains Institute</w:t>
      </w:r>
    </w:p>
    <w:p w14:paraId="7E7CA5C2"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lastRenderedPageBreak/>
        <w:t>-</w:t>
      </w:r>
      <w:r w:rsidRPr="00F041AD">
        <w:rPr>
          <w:color w:val="333333" w:themeColor="background1"/>
        </w:rPr>
        <w:t xml:space="preserve"> Hospitals, colleges, universities, and businesses </w:t>
      </w:r>
    </w:p>
    <w:p w14:paraId="0EEFFFDC" w14:textId="77777777" w:rsidR="00B65A50" w:rsidRPr="00F041AD" w:rsidRDefault="00B65A50" w:rsidP="00164A5A">
      <w:pPr>
        <w:pStyle w:val="5BodyText"/>
        <w:ind w:left="720"/>
        <w:rPr>
          <w:b/>
          <w:color w:val="333333" w:themeColor="background1"/>
        </w:rPr>
      </w:pPr>
      <w:r w:rsidRPr="00F041AD">
        <w:rPr>
          <w:rFonts w:asciiTheme="majorHAnsi" w:hAnsiTheme="majorHAnsi"/>
          <w:color w:val="333333" w:themeColor="background1"/>
        </w:rPr>
        <w:t>-</w:t>
      </w:r>
      <w:r w:rsidRPr="00F041AD">
        <w:rPr>
          <w:color w:val="333333" w:themeColor="background1"/>
        </w:rPr>
        <w:t xml:space="preserve"> Minnesota Pollution Control Agency via </w:t>
      </w:r>
      <w:proofErr w:type="spellStart"/>
      <w:r w:rsidRPr="00F041AD">
        <w:rPr>
          <w:color w:val="333333" w:themeColor="background1"/>
        </w:rPr>
        <w:t>GreenStep</w:t>
      </w:r>
      <w:proofErr w:type="spellEnd"/>
      <w:r w:rsidRPr="00F041AD">
        <w:rPr>
          <w:color w:val="333333" w:themeColor="background1"/>
        </w:rPr>
        <w:t xml:space="preserve"> Cities – can help encourage mapping as a best practice</w:t>
      </w:r>
    </w:p>
    <w:p w14:paraId="2837627B" w14:textId="77777777" w:rsidR="00B65A50" w:rsidRPr="00F041AD" w:rsidRDefault="00B65A50" w:rsidP="00164A5A">
      <w:pPr>
        <w:pStyle w:val="5BodyText"/>
        <w:rPr>
          <w:color w:val="333333" w:themeColor="background1"/>
        </w:rPr>
      </w:pPr>
    </w:p>
    <w:p w14:paraId="6FC9CE11" w14:textId="77777777" w:rsidR="00B65A50" w:rsidRPr="00F041AD" w:rsidRDefault="00B65A50" w:rsidP="00164A5A">
      <w:pPr>
        <w:pStyle w:val="5BodyText"/>
        <w:numPr>
          <w:ilvl w:val="0"/>
          <w:numId w:val="113"/>
        </w:numPr>
        <w:rPr>
          <w:b/>
          <w:color w:val="333333" w:themeColor="background1"/>
        </w:rPr>
      </w:pPr>
      <w:r w:rsidRPr="00F041AD">
        <w:rPr>
          <w:b/>
          <w:color w:val="333333" w:themeColor="background1"/>
        </w:rPr>
        <w:t>Work with local governments and tribal nations to identify opportunities for district energy when planning for other community systems and infrastructure.</w:t>
      </w:r>
      <w:r w:rsidRPr="00F041AD">
        <w:rPr>
          <w:color w:val="333333" w:themeColor="background1"/>
        </w:rPr>
        <w:t xml:space="preserve">  District energy opportunities can be considered more often in early infrastructure planning, because development is most cost effective in combination with planned road, sewer, or other infrastructure projects. When new infrastructure projects are starting, state resources can help local governments and tribal nations identify opportunities to incorporate district energy.</w:t>
      </w:r>
    </w:p>
    <w:p w14:paraId="2BF343A9" w14:textId="77777777" w:rsidR="00B65A50" w:rsidRPr="00F041AD" w:rsidRDefault="00B65A50" w:rsidP="00164A5A">
      <w:pPr>
        <w:pStyle w:val="5BodyText"/>
        <w:rPr>
          <w:color w:val="333333" w:themeColor="background1"/>
        </w:rPr>
      </w:pPr>
    </w:p>
    <w:p w14:paraId="2E776A03" w14:textId="77777777" w:rsidR="00B65A50" w:rsidRPr="00F041AD" w:rsidRDefault="00B65A50" w:rsidP="00164A5A">
      <w:pPr>
        <w:pStyle w:val="5BodyText"/>
        <w:ind w:left="720"/>
        <w:rPr>
          <w:b/>
          <w:color w:val="333333" w:themeColor="background1"/>
        </w:rPr>
      </w:pPr>
      <w:r w:rsidRPr="00F041AD">
        <w:rPr>
          <w:b/>
          <w:color w:val="333333" w:themeColor="background1"/>
        </w:rPr>
        <w:t xml:space="preserve">Champions/Key Participants: </w:t>
      </w:r>
    </w:p>
    <w:p w14:paraId="362AB0BC"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w:t>
      </w:r>
      <w:proofErr w:type="spellStart"/>
      <w:r w:rsidRPr="00F041AD">
        <w:rPr>
          <w:color w:val="333333" w:themeColor="background1"/>
        </w:rPr>
        <w:t>MetCouncil</w:t>
      </w:r>
      <w:proofErr w:type="spellEnd"/>
    </w:p>
    <w:p w14:paraId="1ECAE641"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Ever-Green Energy</w:t>
      </w:r>
    </w:p>
    <w:p w14:paraId="68F009CD"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Center for Energy and Environment (CEE) provides analysis, engagement and education on thermal grid opportunities, including work in Duluth, Rochester, and Arden Hills.</w:t>
      </w:r>
    </w:p>
    <w:p w14:paraId="5BB4F488"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International District Energy Association</w:t>
      </w:r>
    </w:p>
    <w:p w14:paraId="4815F74C"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Hospitals, colleges, universities, and businesses</w:t>
      </w:r>
    </w:p>
    <w:p w14:paraId="0DBCFC0C"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w:t>
      </w:r>
      <w:r w:rsidRPr="00F041AD">
        <w:rPr>
          <w:color w:val="333333" w:themeColor="background1"/>
        </w:rPr>
        <w:t xml:space="preserve"> Minnesota Pollution Control Agency via </w:t>
      </w:r>
      <w:proofErr w:type="spellStart"/>
      <w:r w:rsidRPr="00F041AD">
        <w:rPr>
          <w:color w:val="333333" w:themeColor="background1"/>
        </w:rPr>
        <w:t>GreenStep</w:t>
      </w:r>
      <w:proofErr w:type="spellEnd"/>
      <w:r w:rsidRPr="00F041AD">
        <w:rPr>
          <w:color w:val="333333" w:themeColor="background1"/>
        </w:rPr>
        <w:t xml:space="preserve"> Cities – can help encourage district energy as a best practice</w:t>
      </w:r>
    </w:p>
    <w:p w14:paraId="261E1F3E" w14:textId="77777777" w:rsidR="00B65A50" w:rsidRPr="00F041AD" w:rsidRDefault="00B65A50" w:rsidP="00164A5A">
      <w:pPr>
        <w:pStyle w:val="5BodyText"/>
        <w:rPr>
          <w:color w:val="333333" w:themeColor="background1"/>
        </w:rPr>
      </w:pPr>
    </w:p>
    <w:p w14:paraId="6CA160EB" w14:textId="77777777" w:rsidR="00B65A50" w:rsidRPr="00F041AD" w:rsidRDefault="00B65A50" w:rsidP="00164A5A">
      <w:pPr>
        <w:pStyle w:val="5BodyText"/>
        <w:rPr>
          <w:bCs/>
          <w:i/>
          <w:color w:val="333333" w:themeColor="background1"/>
        </w:rPr>
      </w:pPr>
      <w:r w:rsidRPr="00F041AD">
        <w:rPr>
          <w:b/>
          <w:bCs/>
          <w:i/>
          <w:color w:val="333333" w:themeColor="background1"/>
        </w:rPr>
        <w:t>Success factors</w:t>
      </w:r>
    </w:p>
    <w:p w14:paraId="060FF795" w14:textId="77777777" w:rsidR="00B65A50" w:rsidRPr="00F041AD" w:rsidRDefault="00B65A50" w:rsidP="00164A5A">
      <w:pPr>
        <w:pStyle w:val="5BodyText"/>
        <w:numPr>
          <w:ilvl w:val="0"/>
          <w:numId w:val="114"/>
        </w:numPr>
        <w:rPr>
          <w:color w:val="333333" w:themeColor="background1"/>
        </w:rPr>
      </w:pPr>
      <w:r w:rsidRPr="00F041AD">
        <w:rPr>
          <w:b/>
          <w:color w:val="333333" w:themeColor="background1"/>
        </w:rPr>
        <w:t>Waste heat from all sources is considered for use where available</w:t>
      </w:r>
      <w:r w:rsidRPr="00F041AD">
        <w:rPr>
          <w:color w:val="333333" w:themeColor="background1"/>
        </w:rPr>
        <w:t>, such as from sewer mains and wastewater treatment.</w:t>
      </w:r>
    </w:p>
    <w:p w14:paraId="2D99CB4C" w14:textId="77777777" w:rsidR="00B65A50" w:rsidRPr="00F041AD" w:rsidRDefault="00B65A50" w:rsidP="00164A5A">
      <w:pPr>
        <w:pStyle w:val="5BodyText"/>
        <w:rPr>
          <w:color w:val="333333" w:themeColor="background1"/>
        </w:rPr>
      </w:pPr>
    </w:p>
    <w:p w14:paraId="0018F6FC" w14:textId="77777777" w:rsidR="00B65A50" w:rsidRPr="00F041AD" w:rsidRDefault="00B65A50" w:rsidP="00164A5A">
      <w:pPr>
        <w:pStyle w:val="5BodyText"/>
        <w:rPr>
          <w:bCs/>
          <w:i/>
          <w:iCs/>
          <w:color w:val="333333" w:themeColor="background1"/>
        </w:rPr>
      </w:pPr>
      <w:r w:rsidRPr="00F041AD">
        <w:rPr>
          <w:b/>
          <w:bCs/>
          <w:i/>
          <w:iCs/>
          <w:color w:val="333333" w:themeColor="background1"/>
        </w:rPr>
        <w:t>Indicators of strategy success</w:t>
      </w:r>
    </w:p>
    <w:p w14:paraId="58C7C2E4" w14:textId="77777777" w:rsidR="00B65A50" w:rsidRPr="00F041AD" w:rsidRDefault="00B65A50" w:rsidP="00164A5A">
      <w:pPr>
        <w:pStyle w:val="5BodyText"/>
        <w:numPr>
          <w:ilvl w:val="0"/>
          <w:numId w:val="115"/>
        </w:numPr>
        <w:rPr>
          <w:color w:val="333333" w:themeColor="background1"/>
        </w:rPr>
      </w:pPr>
      <w:r w:rsidRPr="00F041AD">
        <w:rPr>
          <w:color w:val="333333" w:themeColor="background1"/>
        </w:rPr>
        <w:t>Number of district heating and cooling systems</w:t>
      </w:r>
    </w:p>
    <w:p w14:paraId="028C7827" w14:textId="77777777" w:rsidR="00B65A50" w:rsidRPr="00F041AD" w:rsidRDefault="00B65A50" w:rsidP="00164A5A">
      <w:pPr>
        <w:pStyle w:val="5BodyText"/>
        <w:numPr>
          <w:ilvl w:val="0"/>
          <w:numId w:val="115"/>
        </w:numPr>
        <w:rPr>
          <w:color w:val="333333" w:themeColor="background1"/>
        </w:rPr>
      </w:pPr>
      <w:r w:rsidRPr="00F041AD">
        <w:rPr>
          <w:color w:val="333333" w:themeColor="background1"/>
        </w:rPr>
        <w:t>Square feet of building space served by district heating and cooling</w:t>
      </w:r>
    </w:p>
    <w:p w14:paraId="61EA30AE" w14:textId="77777777" w:rsidR="00B65A50" w:rsidRPr="00F041AD" w:rsidRDefault="00B65A50" w:rsidP="00164A5A">
      <w:pPr>
        <w:pStyle w:val="5BodyText"/>
        <w:rPr>
          <w:color w:val="333333" w:themeColor="background1"/>
        </w:rPr>
      </w:pPr>
    </w:p>
    <w:p w14:paraId="705A6C1C" w14:textId="77777777" w:rsidR="00B65A50" w:rsidRPr="00F041AD" w:rsidRDefault="00B65A50" w:rsidP="00164A5A">
      <w:pPr>
        <w:pStyle w:val="5BodyText"/>
        <w:rPr>
          <w:b/>
          <w:i/>
          <w:iCs/>
          <w:color w:val="333333" w:themeColor="background1"/>
        </w:rPr>
      </w:pPr>
      <w:r w:rsidRPr="00F041AD">
        <w:rPr>
          <w:b/>
          <w:i/>
          <w:iCs/>
          <w:color w:val="333333" w:themeColor="background1"/>
        </w:rPr>
        <w:t>Cross-sector opportunities and synergies</w:t>
      </w:r>
    </w:p>
    <w:p w14:paraId="57F26A67" w14:textId="77777777" w:rsidR="00B65A50" w:rsidRPr="00F041AD" w:rsidRDefault="00B65A50" w:rsidP="00164A5A">
      <w:pPr>
        <w:pStyle w:val="5BodyText"/>
        <w:numPr>
          <w:ilvl w:val="0"/>
          <w:numId w:val="116"/>
        </w:numPr>
        <w:rPr>
          <w:color w:val="333333" w:themeColor="background1"/>
        </w:rPr>
      </w:pPr>
      <w:r w:rsidRPr="00F041AD">
        <w:rPr>
          <w:color w:val="333333" w:themeColor="background1"/>
        </w:rPr>
        <w:t xml:space="preserve">Incorporate energy into </w:t>
      </w:r>
      <w:r w:rsidRPr="00F041AD">
        <w:rPr>
          <w:b/>
          <w:color w:val="333333" w:themeColor="background1"/>
        </w:rPr>
        <w:t>local government planning</w:t>
      </w:r>
      <w:r w:rsidRPr="00F041AD">
        <w:rPr>
          <w:color w:val="333333" w:themeColor="background1"/>
        </w:rPr>
        <w:t xml:space="preserve"> and regulatory frameworks  </w:t>
      </w:r>
    </w:p>
    <w:p w14:paraId="09E8D18E" w14:textId="77777777" w:rsidR="00B65A50" w:rsidRPr="00F041AD" w:rsidRDefault="00B65A50" w:rsidP="00164A5A">
      <w:pPr>
        <w:pStyle w:val="5BodyText"/>
        <w:numPr>
          <w:ilvl w:val="0"/>
          <w:numId w:val="116"/>
        </w:numPr>
        <w:rPr>
          <w:color w:val="333333" w:themeColor="background1"/>
        </w:rPr>
      </w:pPr>
      <w:r w:rsidRPr="00F041AD">
        <w:rPr>
          <w:color w:val="333333" w:themeColor="background1"/>
        </w:rPr>
        <w:t xml:space="preserve">Support </w:t>
      </w:r>
      <w:r w:rsidRPr="00F041AD">
        <w:rPr>
          <w:b/>
          <w:color w:val="333333" w:themeColor="background1"/>
        </w:rPr>
        <w:t>combined heat and power (CHP)</w:t>
      </w:r>
    </w:p>
    <w:p w14:paraId="43BBE9C9" w14:textId="77777777" w:rsidR="00B65A50" w:rsidRPr="00F041AD" w:rsidRDefault="00B65A50" w:rsidP="00164A5A">
      <w:pPr>
        <w:pStyle w:val="5BodyText"/>
        <w:numPr>
          <w:ilvl w:val="0"/>
          <w:numId w:val="116"/>
        </w:numPr>
        <w:rPr>
          <w:color w:val="333333" w:themeColor="background1"/>
        </w:rPr>
      </w:pPr>
      <w:r w:rsidRPr="00F041AD">
        <w:rPr>
          <w:color w:val="333333" w:themeColor="background1"/>
        </w:rPr>
        <w:t xml:space="preserve">Provide a market for renewable natural gas produced by </w:t>
      </w:r>
      <w:r w:rsidRPr="00F041AD">
        <w:rPr>
          <w:b/>
          <w:color w:val="333333" w:themeColor="background1"/>
        </w:rPr>
        <w:t>anaerobic digestion</w:t>
      </w:r>
      <w:r w:rsidRPr="00F041AD">
        <w:rPr>
          <w:color w:val="333333" w:themeColor="background1"/>
        </w:rPr>
        <w:t>.</w:t>
      </w:r>
    </w:p>
    <w:p w14:paraId="1B049C83" w14:textId="77777777" w:rsidR="00B65A50" w:rsidRPr="00F041AD" w:rsidRDefault="00B65A50" w:rsidP="00164A5A">
      <w:pPr>
        <w:pStyle w:val="5BodyText"/>
        <w:rPr>
          <w:color w:val="333333" w:themeColor="background1"/>
        </w:rPr>
      </w:pPr>
    </w:p>
    <w:p w14:paraId="1AF514ED" w14:textId="77777777" w:rsidR="00B65A50" w:rsidRPr="00F041AD" w:rsidRDefault="00B65A50" w:rsidP="00164A5A">
      <w:pPr>
        <w:pStyle w:val="5BodyText"/>
        <w:rPr>
          <w:bCs/>
          <w:i/>
          <w:iCs/>
          <w:color w:val="333333" w:themeColor="background1"/>
        </w:rPr>
      </w:pPr>
      <w:r w:rsidRPr="00F041AD">
        <w:rPr>
          <w:b/>
          <w:bCs/>
          <w:i/>
          <w:iCs/>
          <w:color w:val="333333" w:themeColor="background1"/>
        </w:rPr>
        <w:t>Ongoing Minnesota initiatives</w:t>
      </w:r>
    </w:p>
    <w:p w14:paraId="47307893" w14:textId="77777777" w:rsidR="00B65A50" w:rsidRPr="00F041AD" w:rsidRDefault="00B65A50" w:rsidP="00164A5A">
      <w:pPr>
        <w:pStyle w:val="5BodyText"/>
        <w:numPr>
          <w:ilvl w:val="0"/>
          <w:numId w:val="117"/>
        </w:numPr>
        <w:rPr>
          <w:color w:val="333333" w:themeColor="background1"/>
        </w:rPr>
      </w:pPr>
      <w:r w:rsidRPr="00F041AD">
        <w:rPr>
          <w:color w:val="333333" w:themeColor="background1"/>
        </w:rPr>
        <w:lastRenderedPageBreak/>
        <w:t xml:space="preserve">The City of St. Paul is named as a champion city for district energy in the United Nations Environment </w:t>
      </w:r>
      <w:proofErr w:type="spellStart"/>
      <w:r w:rsidRPr="00F041AD">
        <w:rPr>
          <w:color w:val="333333" w:themeColor="background1"/>
        </w:rPr>
        <w:t>Programme’s</w:t>
      </w:r>
      <w:proofErr w:type="spellEnd"/>
      <w:r w:rsidRPr="00F041AD">
        <w:rPr>
          <w:color w:val="333333" w:themeColor="background1"/>
        </w:rPr>
        <w:t xml:space="preserve"> </w:t>
      </w:r>
      <w:hyperlink r:id="rId170">
        <w:r w:rsidRPr="00F041AD">
          <w:rPr>
            <w:color w:val="333333" w:themeColor="background1"/>
            <w:u w:val="single"/>
          </w:rPr>
          <w:t>District Energy in Cities</w:t>
        </w:r>
      </w:hyperlink>
      <w:r w:rsidRPr="00F041AD">
        <w:rPr>
          <w:color w:val="333333" w:themeColor="background1"/>
        </w:rPr>
        <w:t xml:space="preserve"> report.</w:t>
      </w:r>
      <w:r w:rsidRPr="00F041AD">
        <w:rPr>
          <w:rStyle w:val="EndnoteReference"/>
          <w:color w:val="333333" w:themeColor="background1"/>
        </w:rPr>
        <w:endnoteReference w:id="221"/>
      </w:r>
      <w:r w:rsidRPr="00F041AD">
        <w:rPr>
          <w:color w:val="333333" w:themeColor="background1"/>
        </w:rPr>
        <w:t xml:space="preserve"> </w:t>
      </w:r>
    </w:p>
    <w:p w14:paraId="298E8D40" w14:textId="77777777" w:rsidR="00B65A50" w:rsidRPr="00F041AD" w:rsidRDefault="00B65A50" w:rsidP="00164A5A">
      <w:pPr>
        <w:pStyle w:val="5BodyText"/>
        <w:rPr>
          <w:color w:val="333333" w:themeColor="background1"/>
        </w:rPr>
      </w:pPr>
    </w:p>
    <w:p w14:paraId="5CCD8EAA" w14:textId="77777777" w:rsidR="00B65A50" w:rsidRPr="00F041AD" w:rsidRDefault="006506BB" w:rsidP="00164A5A">
      <w:pPr>
        <w:pStyle w:val="5BodyText"/>
        <w:numPr>
          <w:ilvl w:val="0"/>
          <w:numId w:val="117"/>
        </w:numPr>
        <w:rPr>
          <w:color w:val="333333" w:themeColor="background1"/>
        </w:rPr>
      </w:pPr>
      <w:hyperlink r:id="rId171">
        <w:r w:rsidR="00B65A50" w:rsidRPr="00F041AD">
          <w:rPr>
            <w:color w:val="333333" w:themeColor="background1"/>
            <w:u w:val="single"/>
          </w:rPr>
          <w:t>Duluth Energy Systems</w:t>
        </w:r>
      </w:hyperlink>
      <w:r w:rsidR="00B65A50" w:rsidRPr="00F041AD">
        <w:rPr>
          <w:color w:val="333333" w:themeColor="background1"/>
        </w:rPr>
        <w:t xml:space="preserve"> is planning for district heating system upgrades that include system expansion to access further opportunities for efficiency.</w:t>
      </w:r>
      <w:r w:rsidR="00B65A50" w:rsidRPr="00F041AD">
        <w:rPr>
          <w:rStyle w:val="EndnoteReference"/>
          <w:color w:val="333333" w:themeColor="background1"/>
        </w:rPr>
        <w:endnoteReference w:id="222"/>
      </w:r>
    </w:p>
    <w:p w14:paraId="54E6F55C" w14:textId="77777777" w:rsidR="00B65A50" w:rsidRPr="00F041AD" w:rsidRDefault="00B65A50" w:rsidP="00164A5A">
      <w:pPr>
        <w:pStyle w:val="5BodyText"/>
        <w:rPr>
          <w:color w:val="333333" w:themeColor="background1"/>
        </w:rPr>
      </w:pPr>
    </w:p>
    <w:p w14:paraId="3B5FAFF3" w14:textId="77777777" w:rsidR="00B65A50" w:rsidRPr="00F041AD" w:rsidRDefault="00B65A50" w:rsidP="00164A5A">
      <w:pPr>
        <w:pStyle w:val="5BodyText"/>
        <w:numPr>
          <w:ilvl w:val="0"/>
          <w:numId w:val="117"/>
        </w:numPr>
        <w:rPr>
          <w:color w:val="333333" w:themeColor="background1"/>
        </w:rPr>
      </w:pPr>
      <w:r w:rsidRPr="00F041AD">
        <w:rPr>
          <w:color w:val="333333" w:themeColor="background1"/>
        </w:rPr>
        <w:t>Rochester</w:t>
      </w:r>
      <w:hyperlink r:id="rId172">
        <w:r w:rsidRPr="00F041AD">
          <w:rPr>
            <w:color w:val="333333" w:themeColor="background1"/>
            <w:u w:val="single"/>
          </w:rPr>
          <w:t xml:space="preserve"> Destination Medical Center</w:t>
        </w:r>
      </w:hyperlink>
      <w:r w:rsidRPr="00F041AD">
        <w:rPr>
          <w:color w:val="333333" w:themeColor="background1"/>
        </w:rPr>
        <w:t xml:space="preserve"> (DMC) Partners are </w:t>
      </w:r>
      <w:hyperlink r:id="rId173" w:history="1">
        <w:r w:rsidRPr="00F041AD">
          <w:rPr>
            <w:rStyle w:val="Hyperlink"/>
            <w:color w:val="333333" w:themeColor="background1"/>
          </w:rPr>
          <w:t>considering options</w:t>
        </w:r>
      </w:hyperlink>
      <w:r w:rsidRPr="00F041AD">
        <w:rPr>
          <w:color w:val="333333" w:themeColor="background1"/>
        </w:rPr>
        <w:t xml:space="preserve"> for a future district energy system to serve the expanded load of the DMC, along with strong energy efficiency measures. A report, “</w:t>
      </w:r>
      <w:hyperlink r:id="rId174" w:history="1">
        <w:r w:rsidRPr="00F041AD">
          <w:rPr>
            <w:rStyle w:val="Hyperlink"/>
            <w:color w:val="333333" w:themeColor="background1"/>
          </w:rPr>
          <w:t>Destination Medical Center: Sustainable Energy Options</w:t>
        </w:r>
      </w:hyperlink>
      <w:r w:rsidRPr="00F041AD">
        <w:rPr>
          <w:color w:val="333333" w:themeColor="background1"/>
        </w:rPr>
        <w:t>,” conducted by the Center for Energy and Environment lays out a path for DMC buildings to strive for zero net carbon emissions.</w:t>
      </w:r>
      <w:r w:rsidRPr="00F041AD">
        <w:rPr>
          <w:rStyle w:val="EndnoteReference"/>
          <w:color w:val="333333" w:themeColor="background1"/>
        </w:rPr>
        <w:endnoteReference w:id="223"/>
      </w:r>
      <w:r w:rsidRPr="00F041AD">
        <w:rPr>
          <w:color w:val="333333" w:themeColor="background1"/>
        </w:rPr>
        <w:t xml:space="preserve"> </w:t>
      </w:r>
      <w:r w:rsidRPr="00F041AD">
        <w:rPr>
          <w:rStyle w:val="EndnoteReference"/>
          <w:color w:val="333333" w:themeColor="background1"/>
        </w:rPr>
        <w:endnoteReference w:id="224"/>
      </w:r>
      <w:r w:rsidRPr="00F041AD">
        <w:rPr>
          <w:color w:val="333333" w:themeColor="background1"/>
        </w:rPr>
        <w:t xml:space="preserve"> </w:t>
      </w:r>
      <w:r w:rsidRPr="00F041AD">
        <w:rPr>
          <w:rStyle w:val="EndnoteReference"/>
          <w:color w:val="333333" w:themeColor="background1"/>
        </w:rPr>
        <w:endnoteReference w:id="225"/>
      </w:r>
    </w:p>
    <w:p w14:paraId="60EDDBD6" w14:textId="77777777" w:rsidR="00B65A50" w:rsidRPr="00F041AD" w:rsidRDefault="00B65A50" w:rsidP="00164A5A">
      <w:pPr>
        <w:pStyle w:val="5BodyText"/>
        <w:rPr>
          <w:color w:val="333333" w:themeColor="background1"/>
        </w:rPr>
      </w:pPr>
    </w:p>
    <w:p w14:paraId="2017836D" w14:textId="77777777" w:rsidR="00B65A50" w:rsidRPr="00F041AD" w:rsidRDefault="006506BB" w:rsidP="00164A5A">
      <w:pPr>
        <w:pStyle w:val="5BodyText"/>
        <w:numPr>
          <w:ilvl w:val="0"/>
          <w:numId w:val="117"/>
        </w:numPr>
        <w:rPr>
          <w:color w:val="333333" w:themeColor="background1"/>
        </w:rPr>
      </w:pPr>
      <w:hyperlink r:id="rId175">
        <w:r w:rsidR="00B65A50" w:rsidRPr="00F041AD">
          <w:rPr>
            <w:color w:val="333333" w:themeColor="background1"/>
            <w:u w:val="single"/>
          </w:rPr>
          <w:t>Rice Creek Commons</w:t>
        </w:r>
      </w:hyperlink>
      <w:r w:rsidR="00B65A50" w:rsidRPr="00F041AD">
        <w:rPr>
          <w:color w:val="333333" w:themeColor="background1"/>
          <w:u w:val="single"/>
        </w:rPr>
        <w:t xml:space="preserve"> is a planned mixed-use development in Ramsey County that is striving to be the largest net-zero energy redevelopment in the state. </w:t>
      </w:r>
      <w:hyperlink r:id="rId176" w:history="1">
        <w:r w:rsidR="00B65A50" w:rsidRPr="00F041AD">
          <w:rPr>
            <w:rStyle w:val="Hyperlink"/>
            <w:color w:val="333333" w:themeColor="background1"/>
          </w:rPr>
          <w:t>The proposed energy framework</w:t>
        </w:r>
      </w:hyperlink>
      <w:r w:rsidR="00B65A50" w:rsidRPr="00F041AD">
        <w:rPr>
          <w:color w:val="333333" w:themeColor="background1"/>
          <w:u w:val="single"/>
        </w:rPr>
        <w:t xml:space="preserve"> includes thermal energy recovery from the water treatment plant on site, an 8 MW solar installation, and efficient, all-electric residential neighborhoods.</w:t>
      </w:r>
      <w:r w:rsidR="00B65A50" w:rsidRPr="00F041AD">
        <w:rPr>
          <w:rStyle w:val="EndnoteReference"/>
          <w:color w:val="333333" w:themeColor="background1"/>
          <w:u w:val="single"/>
        </w:rPr>
        <w:endnoteReference w:id="226"/>
      </w:r>
      <w:r w:rsidR="00B65A50" w:rsidRPr="00F041AD">
        <w:rPr>
          <w:color w:val="333333" w:themeColor="background1"/>
          <w:u w:val="single"/>
        </w:rPr>
        <w:t xml:space="preserve">  </w:t>
      </w:r>
      <w:r w:rsidR="00B65A50" w:rsidRPr="00F041AD">
        <w:rPr>
          <w:rStyle w:val="EndnoteReference"/>
          <w:color w:val="333333" w:themeColor="background1"/>
          <w:u w:val="single"/>
        </w:rPr>
        <w:endnoteReference w:id="227"/>
      </w:r>
    </w:p>
    <w:p w14:paraId="4119A88A" w14:textId="77777777" w:rsidR="00B65A50" w:rsidRPr="00F041AD" w:rsidRDefault="00B65A50" w:rsidP="00164A5A">
      <w:pPr>
        <w:pStyle w:val="5BodyText"/>
        <w:rPr>
          <w:color w:val="333333" w:themeColor="background1"/>
        </w:rPr>
      </w:pPr>
    </w:p>
    <w:p w14:paraId="10639BF7" w14:textId="77777777" w:rsidR="00B65A50" w:rsidRPr="00F041AD" w:rsidRDefault="00B65A50" w:rsidP="00164A5A">
      <w:pPr>
        <w:pStyle w:val="5BodyText"/>
        <w:numPr>
          <w:ilvl w:val="0"/>
          <w:numId w:val="117"/>
        </w:numPr>
        <w:rPr>
          <w:b/>
          <w:color w:val="333333" w:themeColor="background1"/>
        </w:rPr>
      </w:pPr>
      <w:r w:rsidRPr="00F041AD">
        <w:rPr>
          <w:color w:val="333333" w:themeColor="background1"/>
        </w:rPr>
        <w:t xml:space="preserve">The </w:t>
      </w:r>
      <w:hyperlink r:id="rId177">
        <w:r w:rsidRPr="00F041AD">
          <w:rPr>
            <w:color w:val="333333" w:themeColor="background1"/>
            <w:u w:val="single"/>
          </w:rPr>
          <w:t>University Avenue Innovation District</w:t>
        </w:r>
      </w:hyperlink>
      <w:r w:rsidRPr="00F041AD">
        <w:rPr>
          <w:color w:val="333333" w:themeColor="background1"/>
        </w:rPr>
        <w:t>, also known as the Prospect North Partnership, is a planned development along the Green Line Corridor between Minneapolis and St. Paul. Prospect North Partnership plans to include a district energy system and a shared hot and cold water system.</w:t>
      </w:r>
      <w:r w:rsidRPr="00F041AD">
        <w:rPr>
          <w:rStyle w:val="EndnoteReference"/>
          <w:color w:val="333333" w:themeColor="background1"/>
        </w:rPr>
        <w:endnoteReference w:id="228"/>
      </w:r>
      <w:r w:rsidRPr="00F041AD">
        <w:rPr>
          <w:color w:val="333333" w:themeColor="background1"/>
        </w:rPr>
        <w:t xml:space="preserve">  </w:t>
      </w:r>
    </w:p>
    <w:p w14:paraId="58630070" w14:textId="77777777" w:rsidR="00B65A50" w:rsidRPr="00F041AD" w:rsidRDefault="00B65A50" w:rsidP="00164A5A">
      <w:pPr>
        <w:pStyle w:val="5BodyText"/>
        <w:rPr>
          <w:b/>
          <w:color w:val="333333" w:themeColor="background1"/>
        </w:rPr>
      </w:pPr>
    </w:p>
    <w:p w14:paraId="69149AE2" w14:textId="77777777" w:rsidR="00B65A50" w:rsidRPr="00F041AD" w:rsidRDefault="006506BB" w:rsidP="00164A5A">
      <w:pPr>
        <w:pStyle w:val="5BodyText"/>
        <w:numPr>
          <w:ilvl w:val="0"/>
          <w:numId w:val="117"/>
        </w:numPr>
        <w:rPr>
          <w:color w:val="333333" w:themeColor="background1"/>
        </w:rPr>
      </w:pPr>
      <w:hyperlink r:id="rId178" w:history="1">
        <w:r w:rsidR="00B65A50" w:rsidRPr="00F041AD">
          <w:rPr>
            <w:rStyle w:val="Hyperlink"/>
            <w:color w:val="333333" w:themeColor="background1"/>
          </w:rPr>
          <w:t>Ford’s former Twin Cities Assembly Plant</w:t>
        </w:r>
      </w:hyperlink>
      <w:r w:rsidR="00B65A50" w:rsidRPr="00F041AD">
        <w:rPr>
          <w:color w:val="333333" w:themeColor="background1"/>
        </w:rPr>
        <w:t xml:space="preserve"> in St. Paul will be redeveloped as a mixed-use neighborhood beginning in 2018, with aspirations of being entirely carbon neutral. Plans for the redevelopment’s energy include a new district energy system</w:t>
      </w:r>
      <w:r w:rsidR="00B65A50" w:rsidRPr="00F041AD">
        <w:rPr>
          <w:color w:val="333333" w:themeColor="background1"/>
          <w:u w:val="single"/>
        </w:rPr>
        <w:t>.</w:t>
      </w:r>
      <w:r w:rsidR="00B65A50" w:rsidRPr="00F041AD">
        <w:rPr>
          <w:rStyle w:val="EndnoteReference"/>
          <w:color w:val="333333" w:themeColor="background1"/>
          <w:u w:val="single"/>
        </w:rPr>
        <w:endnoteReference w:id="229"/>
      </w:r>
    </w:p>
    <w:p w14:paraId="5686B3E8" w14:textId="77777777" w:rsidR="00B65A50" w:rsidRPr="00F041AD" w:rsidRDefault="00B65A50" w:rsidP="00164A5A">
      <w:pPr>
        <w:pStyle w:val="5BodyText"/>
        <w:rPr>
          <w:color w:val="333333" w:themeColor="background1"/>
        </w:rPr>
      </w:pPr>
    </w:p>
    <w:p w14:paraId="08B0A307" w14:textId="77777777" w:rsidR="00B65A50" w:rsidRPr="00F041AD" w:rsidRDefault="006506BB" w:rsidP="00164A5A">
      <w:pPr>
        <w:pStyle w:val="5BodyText"/>
        <w:numPr>
          <w:ilvl w:val="0"/>
          <w:numId w:val="117"/>
        </w:numPr>
        <w:rPr>
          <w:color w:val="333333" w:themeColor="background1"/>
        </w:rPr>
      </w:pPr>
      <w:hyperlink r:id="rId179" w:history="1">
        <w:r w:rsidR="00B65A50" w:rsidRPr="00F041AD">
          <w:rPr>
            <w:rStyle w:val="Hyperlink"/>
            <w:color w:val="333333" w:themeColor="background1"/>
          </w:rPr>
          <w:t>The design for the new Minnesota United soccer stadium</w:t>
        </w:r>
      </w:hyperlink>
      <w:r w:rsidR="00B65A50" w:rsidRPr="00F041AD">
        <w:rPr>
          <w:color w:val="333333" w:themeColor="background1"/>
        </w:rPr>
        <w:t xml:space="preserve"> includes a district heating system similar to TCF Bank Stadium or Target Field.</w:t>
      </w:r>
      <w:r w:rsidR="00B65A50" w:rsidRPr="00F041AD">
        <w:rPr>
          <w:rStyle w:val="EndnoteReference"/>
          <w:color w:val="333333" w:themeColor="background1"/>
        </w:rPr>
        <w:endnoteReference w:id="230"/>
      </w:r>
    </w:p>
    <w:p w14:paraId="7B6AEB8D" w14:textId="77777777" w:rsidR="00B65A50" w:rsidRPr="00F041AD" w:rsidRDefault="00B65A50" w:rsidP="00164A5A">
      <w:pPr>
        <w:pStyle w:val="5BodyText"/>
        <w:rPr>
          <w:color w:val="333333" w:themeColor="background1"/>
        </w:rPr>
      </w:pPr>
    </w:p>
    <w:p w14:paraId="4FDB8046" w14:textId="77777777" w:rsidR="00B65A50" w:rsidRPr="00F041AD" w:rsidRDefault="00B65A50" w:rsidP="00164A5A">
      <w:pPr>
        <w:pStyle w:val="5BodyText"/>
        <w:rPr>
          <w:bCs/>
          <w:i/>
          <w:color w:val="333333" w:themeColor="background1"/>
        </w:rPr>
      </w:pPr>
      <w:r w:rsidRPr="00F041AD">
        <w:rPr>
          <w:b/>
          <w:bCs/>
          <w:i/>
          <w:color w:val="333333" w:themeColor="background1"/>
        </w:rPr>
        <w:t>Other related resources</w:t>
      </w:r>
    </w:p>
    <w:p w14:paraId="32D4E79B" w14:textId="77777777" w:rsidR="00B65A50" w:rsidRPr="00F041AD" w:rsidRDefault="006506BB" w:rsidP="00164A5A">
      <w:pPr>
        <w:pStyle w:val="5BodyText"/>
        <w:numPr>
          <w:ilvl w:val="0"/>
          <w:numId w:val="118"/>
        </w:numPr>
        <w:rPr>
          <w:color w:val="333333" w:themeColor="background1"/>
        </w:rPr>
      </w:pPr>
      <w:hyperlink r:id="rId180">
        <w:r w:rsidR="00B65A50" w:rsidRPr="00F041AD">
          <w:rPr>
            <w:color w:val="333333" w:themeColor="background1"/>
            <w:u w:val="single"/>
          </w:rPr>
          <w:t>Midwest DOE CHP Technical Assistance Partnership</w:t>
        </w:r>
      </w:hyperlink>
      <w:r w:rsidR="00B65A50" w:rsidRPr="00F041AD">
        <w:rPr>
          <w:color w:val="333333" w:themeColor="background1"/>
        </w:rPr>
        <w:t xml:space="preserve"> provides technical assistance resources on district heating and cooling with CHP.</w:t>
      </w:r>
      <w:r w:rsidR="00B65A50" w:rsidRPr="00F041AD">
        <w:rPr>
          <w:rStyle w:val="EndnoteReference"/>
          <w:color w:val="333333" w:themeColor="background1"/>
        </w:rPr>
        <w:endnoteReference w:id="231"/>
      </w:r>
      <w:r w:rsidR="00B65A50" w:rsidRPr="00F041AD">
        <w:rPr>
          <w:color w:val="333333" w:themeColor="background1"/>
        </w:rPr>
        <w:t xml:space="preserve"> </w:t>
      </w:r>
    </w:p>
    <w:p w14:paraId="2CC5E78C" w14:textId="77777777" w:rsidR="00B65A50" w:rsidRPr="00F041AD" w:rsidRDefault="00B65A50" w:rsidP="00164A5A">
      <w:pPr>
        <w:pStyle w:val="5BodyText"/>
        <w:rPr>
          <w:color w:val="333333" w:themeColor="background1"/>
        </w:rPr>
      </w:pPr>
    </w:p>
    <w:p w14:paraId="3F50AF37" w14:textId="77777777" w:rsidR="00B65A50" w:rsidRPr="00F041AD" w:rsidRDefault="00B65A50" w:rsidP="00164A5A">
      <w:pPr>
        <w:pStyle w:val="5BodyText"/>
        <w:numPr>
          <w:ilvl w:val="0"/>
          <w:numId w:val="118"/>
        </w:numPr>
        <w:rPr>
          <w:color w:val="333333" w:themeColor="background1"/>
        </w:rPr>
      </w:pPr>
      <w:r w:rsidRPr="00F041AD">
        <w:rPr>
          <w:color w:val="333333" w:themeColor="background1"/>
        </w:rPr>
        <w:t>ICF’s report,</w:t>
      </w:r>
      <w:hyperlink r:id="rId181">
        <w:r w:rsidRPr="00F041AD">
          <w:rPr>
            <w:color w:val="333333" w:themeColor="background1"/>
          </w:rPr>
          <w:t xml:space="preserve"> </w:t>
        </w:r>
      </w:hyperlink>
      <w:hyperlink r:id="rId182">
        <w:r w:rsidRPr="00F041AD">
          <w:rPr>
            <w:i/>
            <w:color w:val="333333" w:themeColor="background1"/>
            <w:u w:val="single"/>
          </w:rPr>
          <w:t>CHP: Enabling Resilient Energy Infrastructure for Critical Facilities</w:t>
        </w:r>
      </w:hyperlink>
      <w:r w:rsidRPr="00F041AD">
        <w:rPr>
          <w:color w:val="333333" w:themeColor="background1"/>
        </w:rPr>
        <w:t>, prepared for Oak Ridge National Laboratory, describes how CHP can be designed an used for energy reliability, and how local and state policies can promote CHP in critical infrastructure.</w:t>
      </w:r>
      <w:r w:rsidRPr="00F041AD">
        <w:rPr>
          <w:rStyle w:val="EndnoteReference"/>
          <w:color w:val="333333" w:themeColor="background1"/>
        </w:rPr>
        <w:endnoteReference w:id="232"/>
      </w:r>
    </w:p>
    <w:p w14:paraId="155EA427" w14:textId="77777777" w:rsidR="00B65A50" w:rsidRPr="00F041AD" w:rsidRDefault="00B65A50" w:rsidP="00164A5A">
      <w:pPr>
        <w:pStyle w:val="5BodyText"/>
        <w:rPr>
          <w:color w:val="333333" w:themeColor="background1"/>
        </w:rPr>
      </w:pPr>
    </w:p>
    <w:p w14:paraId="6ACC3778" w14:textId="77777777" w:rsidR="00B65A50" w:rsidRPr="00F041AD" w:rsidRDefault="00B65A50" w:rsidP="00164A5A">
      <w:pPr>
        <w:pStyle w:val="5BodyText"/>
        <w:numPr>
          <w:ilvl w:val="0"/>
          <w:numId w:val="118"/>
        </w:numPr>
        <w:rPr>
          <w:color w:val="333333" w:themeColor="background1"/>
        </w:rPr>
      </w:pPr>
      <w:r w:rsidRPr="00F041AD">
        <w:rPr>
          <w:color w:val="333333" w:themeColor="background1"/>
        </w:rPr>
        <w:lastRenderedPageBreak/>
        <w:t>The</w:t>
      </w:r>
      <w:hyperlink r:id="rId183">
        <w:r w:rsidRPr="00F041AD">
          <w:rPr>
            <w:color w:val="333333" w:themeColor="background1"/>
          </w:rPr>
          <w:t xml:space="preserve"> </w:t>
        </w:r>
      </w:hyperlink>
      <w:hyperlink r:id="rId184">
        <w:r w:rsidRPr="00F041AD">
          <w:rPr>
            <w:color w:val="333333" w:themeColor="background1"/>
            <w:u w:val="single"/>
          </w:rPr>
          <w:t>International Energy Agency - District Heating and Cooling</w:t>
        </w:r>
      </w:hyperlink>
      <w:r w:rsidRPr="00F041AD">
        <w:rPr>
          <w:color w:val="333333" w:themeColor="background1"/>
          <w:u w:val="single"/>
        </w:rPr>
        <w:t xml:space="preserve"> site serves as a hub on international district energy research.</w:t>
      </w:r>
      <w:r w:rsidRPr="00F041AD">
        <w:rPr>
          <w:rStyle w:val="EndnoteReference"/>
          <w:color w:val="333333" w:themeColor="background1"/>
          <w:u w:val="single"/>
        </w:rPr>
        <w:endnoteReference w:id="233"/>
      </w:r>
    </w:p>
    <w:p w14:paraId="3778E57D" w14:textId="77777777" w:rsidR="00B65A50" w:rsidRPr="00F041AD" w:rsidRDefault="00B65A50" w:rsidP="00164A5A">
      <w:pPr>
        <w:pStyle w:val="5BodyText"/>
        <w:rPr>
          <w:color w:val="333333" w:themeColor="background1"/>
        </w:rPr>
      </w:pPr>
    </w:p>
    <w:p w14:paraId="4EAD624D" w14:textId="77777777" w:rsidR="00B65A50" w:rsidRPr="00F041AD" w:rsidRDefault="00B65A50" w:rsidP="00164A5A">
      <w:pPr>
        <w:pStyle w:val="5BodyText"/>
        <w:rPr>
          <w:b/>
          <w:i/>
          <w:color w:val="333333" w:themeColor="background1"/>
        </w:rPr>
      </w:pPr>
    </w:p>
    <w:p w14:paraId="6CA10EBE" w14:textId="7F52E285" w:rsidR="00B65A50" w:rsidRPr="00F041AD" w:rsidRDefault="00725676" w:rsidP="008B39AC">
      <w:pPr>
        <w:pStyle w:val="StrategyName"/>
      </w:pPr>
      <w:bookmarkStart w:id="232" w:name="h.1egqt2p" w:colFirst="0" w:colLast="0"/>
      <w:bookmarkStart w:id="233" w:name="_Toc319794285"/>
      <w:bookmarkStart w:id="234" w:name="_Toc322961648"/>
      <w:bookmarkStart w:id="235" w:name="_Toc322962049"/>
      <w:bookmarkStart w:id="236" w:name="_Toc322962236"/>
      <w:bookmarkEnd w:id="232"/>
      <w:r>
        <w:t>C7</w:t>
      </w:r>
      <w:r w:rsidR="00B65A50" w:rsidRPr="00F041AD">
        <w:t>. Support combined heat and power (CHP)</w:t>
      </w:r>
      <w:bookmarkEnd w:id="233"/>
      <w:bookmarkEnd w:id="234"/>
      <w:bookmarkEnd w:id="235"/>
      <w:bookmarkEnd w:id="236"/>
    </w:p>
    <w:p w14:paraId="79BF8901" w14:textId="77777777" w:rsidR="00B65A50" w:rsidRPr="00F041AD" w:rsidRDefault="00B65A50" w:rsidP="00164A5A">
      <w:pPr>
        <w:pStyle w:val="5BodyText"/>
        <w:rPr>
          <w:b/>
          <w:i/>
          <w:color w:val="333333" w:themeColor="background1"/>
        </w:rPr>
      </w:pPr>
    </w:p>
    <w:p w14:paraId="43F7E07A" w14:textId="77777777" w:rsidR="00B65A50" w:rsidRPr="00F041AD" w:rsidRDefault="00B65A50" w:rsidP="00164A5A">
      <w:pPr>
        <w:pStyle w:val="5BodyText"/>
        <w:rPr>
          <w:b/>
          <w:i/>
          <w:iCs/>
          <w:color w:val="333333" w:themeColor="background1"/>
        </w:rPr>
      </w:pPr>
      <w:r w:rsidRPr="00F041AD">
        <w:rPr>
          <w:b/>
          <w:i/>
          <w:color w:val="333333" w:themeColor="background1"/>
        </w:rPr>
        <w:t>Strategy overview</w:t>
      </w:r>
    </w:p>
    <w:p w14:paraId="176B7E91" w14:textId="77777777" w:rsidR="00B65A50" w:rsidRPr="00F041AD" w:rsidRDefault="00B65A50" w:rsidP="00164A5A">
      <w:pPr>
        <w:pStyle w:val="5BodyText"/>
        <w:rPr>
          <w:color w:val="333333" w:themeColor="background1"/>
        </w:rPr>
      </w:pPr>
      <w:r w:rsidRPr="00F041AD">
        <w:rPr>
          <w:color w:val="333333" w:themeColor="background1"/>
        </w:rPr>
        <w:t>Combined heat and power (CHP) systems are well established in Minnesota with the potential for additional capacity in the coming years. CHP systems generate electricity and useful thermal energy simultaneously within one integrated system. Conventional power generation rejects thermal energy as waste heat, but because CHP systems are able to reuse this thermal energy, their efficiency levels are much higher, up to 80 percent efficient.</w:t>
      </w:r>
      <w:r w:rsidRPr="00F041AD">
        <w:rPr>
          <w:rStyle w:val="EndnoteReference"/>
          <w:rFonts w:asciiTheme="minorHAnsi" w:hAnsiTheme="minorHAnsi"/>
          <w:color w:val="333333" w:themeColor="background1"/>
        </w:rPr>
        <w:endnoteReference w:id="234"/>
      </w:r>
      <w:r w:rsidRPr="00F041AD">
        <w:rPr>
          <w:color w:val="333333" w:themeColor="background1"/>
        </w:rPr>
        <w:t xml:space="preserve"> Currently in Minnesota, there is 962 MW of CHP capacity installed. The full technical potential of CHP is estimated to be 3,049 MW, of which 984 MW are assumed to have a payback period of 10 years or less.</w:t>
      </w:r>
      <w:r w:rsidRPr="00F041AD">
        <w:rPr>
          <w:rStyle w:val="EndnoteReference"/>
          <w:rFonts w:asciiTheme="minorHAnsi" w:hAnsiTheme="minorHAnsi"/>
          <w:color w:val="333333" w:themeColor="background1"/>
        </w:rPr>
        <w:endnoteReference w:id="235"/>
      </w:r>
      <w:r w:rsidRPr="00F041AD">
        <w:rPr>
          <w:color w:val="333333" w:themeColor="background1"/>
        </w:rPr>
        <w:t xml:space="preserve"> </w:t>
      </w:r>
    </w:p>
    <w:p w14:paraId="11E336C7" w14:textId="77777777" w:rsidR="00B65A50" w:rsidRPr="00F041AD" w:rsidRDefault="00B65A50" w:rsidP="00164A5A">
      <w:pPr>
        <w:pStyle w:val="5BodyText"/>
        <w:rPr>
          <w:color w:val="333333" w:themeColor="background1"/>
        </w:rPr>
      </w:pPr>
    </w:p>
    <w:p w14:paraId="54B92950" w14:textId="77777777" w:rsidR="00B65A50" w:rsidRPr="00F041AD" w:rsidRDefault="00B65A50" w:rsidP="00164A5A">
      <w:pPr>
        <w:pStyle w:val="5BodyText"/>
        <w:rPr>
          <w:color w:val="333333" w:themeColor="background1"/>
        </w:rPr>
      </w:pPr>
      <w:r w:rsidRPr="00F041AD">
        <w:rPr>
          <w:color w:val="333333" w:themeColor="background1"/>
        </w:rPr>
        <w:t xml:space="preserve">Stakeholders emphasized the need to capture the energy savings from CHP across multiple sectors, including opportunities for building efficiency, industrial efficiency, and community thermal grids.  Over the last two years the MN Department of Commerce has been conducting a robust effort to examine opportunities for increasing the deployment of CHP in Minnesota. As a result of a stakeholder engagement process, technical research studies, and evaluation of resource potential a Minnesota CHP Action Plan was published in October 2015. The CHP Action Plan provides a roadmap for specific actions that will be undertaken in the next several years to improve the policy, regulatory, and technical environment in order to take advantage of CHP implementation opportunities. </w:t>
      </w:r>
    </w:p>
    <w:p w14:paraId="5E72C4AB" w14:textId="77777777" w:rsidR="00B65A50" w:rsidRPr="00F041AD" w:rsidRDefault="00B65A50" w:rsidP="00164A5A">
      <w:pPr>
        <w:pStyle w:val="5BodyText"/>
        <w:rPr>
          <w:color w:val="333333" w:themeColor="background1"/>
        </w:rPr>
      </w:pPr>
    </w:p>
    <w:p w14:paraId="73EFAF75" w14:textId="77777777" w:rsidR="00B65A50" w:rsidRPr="00F041AD" w:rsidRDefault="00B65A50" w:rsidP="00164A5A">
      <w:pPr>
        <w:pStyle w:val="5BodyText"/>
        <w:rPr>
          <w:color w:val="333333" w:themeColor="background1"/>
        </w:rPr>
      </w:pPr>
      <w:r w:rsidRPr="00F041AD">
        <w:rPr>
          <w:color w:val="333333" w:themeColor="background1"/>
        </w:rPr>
        <w:t>The Department of Commerce CHP Action Plan highlights specific action items, based on recommendations from a rigorous stakeholder engagement process and the department’s studies on CHP potential in Minnesota. The 2025 stakeholder advisory committee recommended further advancing these six priority areas outlined below.</w:t>
      </w:r>
    </w:p>
    <w:p w14:paraId="4D2B0574" w14:textId="77777777" w:rsidR="00B65A50" w:rsidRPr="00F041AD" w:rsidRDefault="00B65A50" w:rsidP="00164A5A">
      <w:pPr>
        <w:pStyle w:val="5BodyText"/>
        <w:rPr>
          <w:color w:val="333333" w:themeColor="background1"/>
        </w:rPr>
      </w:pPr>
    </w:p>
    <w:p w14:paraId="067D06FD" w14:textId="77777777" w:rsidR="00B65A50" w:rsidRPr="00F041AD" w:rsidRDefault="00B65A50" w:rsidP="00164A5A">
      <w:pPr>
        <w:pStyle w:val="5BodyText"/>
        <w:rPr>
          <w:b/>
          <w:i/>
          <w:color w:val="333333" w:themeColor="background1"/>
        </w:rPr>
      </w:pPr>
      <w:r w:rsidRPr="00F041AD">
        <w:rPr>
          <w:b/>
          <w:i/>
          <w:color w:val="333333" w:themeColor="background1"/>
        </w:rPr>
        <w:t>Specific actions for strategy implementation</w:t>
      </w:r>
    </w:p>
    <w:p w14:paraId="0581D535" w14:textId="77777777" w:rsidR="00B65A50" w:rsidRPr="00F041AD" w:rsidRDefault="00B65A50" w:rsidP="00164A5A">
      <w:pPr>
        <w:pStyle w:val="5BodyText"/>
        <w:numPr>
          <w:ilvl w:val="0"/>
          <w:numId w:val="119"/>
        </w:numPr>
        <w:rPr>
          <w:color w:val="333333" w:themeColor="background1"/>
        </w:rPr>
      </w:pPr>
      <w:r w:rsidRPr="00F041AD">
        <w:rPr>
          <w:b/>
          <w:color w:val="333333" w:themeColor="background1"/>
        </w:rPr>
        <w:t>Establish CHP energy savings attribution model and project evaluation criteria</w:t>
      </w:r>
      <w:r w:rsidRPr="00F041AD">
        <w:rPr>
          <w:color w:val="333333" w:themeColor="background1"/>
        </w:rPr>
        <w:t>.</w:t>
      </w:r>
      <w:r w:rsidRPr="00F041AD">
        <w:rPr>
          <w:color w:val="333333" w:themeColor="background1"/>
        </w:rPr>
        <w:br/>
        <w:t xml:space="preserve">Such a model would provide a fair, accurate, and comprehensive assessment and valuation of CHP projects within the Conservation Improvement Program (CIP). Finalizing this model will take a considerable amount of time, but stakeholders can begin to develop the model during 2016 in order to inform utilities’ 2017-2019 CIP Triennial Plan filings and individual project proposals. Ultimately, at the conclusion of this activity, the attribution model and project evaluation criteria would be formalized by Commerce issuing an Order pursuant to Minnesota Rules Chapter 7690. </w:t>
      </w:r>
    </w:p>
    <w:p w14:paraId="60DCF5B1" w14:textId="77777777" w:rsidR="00B65A50" w:rsidRPr="00F041AD" w:rsidRDefault="00B65A50" w:rsidP="00164A5A">
      <w:pPr>
        <w:pStyle w:val="5BodyText"/>
        <w:rPr>
          <w:color w:val="333333" w:themeColor="background1"/>
        </w:rPr>
      </w:pPr>
    </w:p>
    <w:p w14:paraId="17CA8449" w14:textId="77777777" w:rsidR="00B65A50" w:rsidRPr="00F041AD" w:rsidRDefault="00B65A50" w:rsidP="00164A5A">
      <w:pPr>
        <w:pStyle w:val="5BodyText"/>
        <w:ind w:firstLine="720"/>
        <w:rPr>
          <w:color w:val="333333" w:themeColor="background1"/>
        </w:rPr>
      </w:pPr>
      <w:r w:rsidRPr="00F041AD">
        <w:rPr>
          <w:b/>
          <w:color w:val="333333" w:themeColor="background1"/>
        </w:rPr>
        <w:t>Champions/ Key Participants:</w:t>
      </w:r>
      <w:r w:rsidRPr="00F041AD">
        <w:rPr>
          <w:color w:val="333333" w:themeColor="background1"/>
        </w:rPr>
        <w:t xml:space="preserve">  </w:t>
      </w:r>
    </w:p>
    <w:p w14:paraId="4F419718" w14:textId="77777777" w:rsidR="00B65A50" w:rsidRPr="00F041AD" w:rsidRDefault="00B65A50" w:rsidP="00164A5A">
      <w:pPr>
        <w:pStyle w:val="5BodyText"/>
        <w:ind w:firstLine="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Minnesota Department of Commerce</w:t>
      </w:r>
    </w:p>
    <w:p w14:paraId="224E64DD"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Conservation Improvement Program (</w:t>
      </w:r>
      <w:r w:rsidRPr="00F041AD">
        <w:rPr>
          <w:color w:val="333333" w:themeColor="background1"/>
        </w:rPr>
        <w:t>CIP) Technical Reference Manual Advisory Committee</w:t>
      </w:r>
    </w:p>
    <w:p w14:paraId="34803067" w14:textId="77777777" w:rsidR="00B65A50" w:rsidRPr="00F041AD" w:rsidRDefault="00B65A50" w:rsidP="00164A5A">
      <w:pPr>
        <w:pStyle w:val="5BodyText"/>
        <w:rPr>
          <w:color w:val="333333" w:themeColor="background1"/>
        </w:rPr>
      </w:pPr>
    </w:p>
    <w:p w14:paraId="34CDA926" w14:textId="77777777" w:rsidR="00B65A50" w:rsidRPr="00F041AD" w:rsidRDefault="00B65A50" w:rsidP="00164A5A">
      <w:pPr>
        <w:pStyle w:val="5BodyText"/>
        <w:numPr>
          <w:ilvl w:val="0"/>
          <w:numId w:val="119"/>
        </w:numPr>
        <w:rPr>
          <w:i/>
          <w:color w:val="333333" w:themeColor="background1"/>
        </w:rPr>
      </w:pPr>
      <w:r w:rsidRPr="00F041AD">
        <w:rPr>
          <w:b/>
          <w:color w:val="333333" w:themeColor="background1"/>
        </w:rPr>
        <w:t>Map CHP opportunities at wastewater treatment facilities and public facilities.</w:t>
      </w:r>
      <w:r w:rsidRPr="00F041AD">
        <w:rPr>
          <w:i/>
          <w:color w:val="333333" w:themeColor="background1"/>
        </w:rPr>
        <w:br/>
      </w:r>
      <w:r w:rsidRPr="00F041AD">
        <w:rPr>
          <w:color w:val="333333" w:themeColor="background1"/>
        </w:rPr>
        <w:t>CHP in Minnesota has significant potential, but a more granular analysis would help identify specific projects that could be implemented. Mapping CHP opportunities at public facilities and wastewater treatment facilities would be most helpful in determining viable projects.</w:t>
      </w:r>
      <w:r w:rsidRPr="00F041AD">
        <w:rPr>
          <w:i/>
          <w:color w:val="333333" w:themeColor="background1"/>
        </w:rPr>
        <w:t xml:space="preserve"> </w:t>
      </w:r>
      <w:r w:rsidRPr="00F041AD">
        <w:rPr>
          <w:color w:val="333333" w:themeColor="background1"/>
        </w:rPr>
        <w:t>Stakeholders would collaborate with the Department of Energy on the following activities: planning potential projects; developing partnerships; conducting energy efficiency assessments; facilitating site investment; identifying opportunities for renewable energy; creating an implementation model; and disseminating results.</w:t>
      </w:r>
    </w:p>
    <w:p w14:paraId="50DEE674" w14:textId="77777777" w:rsidR="00B65A50" w:rsidRPr="00F041AD" w:rsidRDefault="00B65A50" w:rsidP="00164A5A">
      <w:pPr>
        <w:pStyle w:val="5BodyText"/>
        <w:rPr>
          <w:i/>
          <w:color w:val="333333" w:themeColor="background1"/>
        </w:rPr>
      </w:pPr>
    </w:p>
    <w:p w14:paraId="123BCD34" w14:textId="77777777" w:rsidR="00B65A50" w:rsidRPr="00F041AD" w:rsidRDefault="00B65A50" w:rsidP="00164A5A">
      <w:pPr>
        <w:pStyle w:val="5BodyText"/>
        <w:ind w:left="720"/>
        <w:rPr>
          <w:b/>
          <w:color w:val="333333" w:themeColor="background1"/>
        </w:rPr>
      </w:pPr>
      <w:r w:rsidRPr="00F041AD">
        <w:rPr>
          <w:b/>
          <w:color w:val="333333" w:themeColor="background1"/>
        </w:rPr>
        <w:t xml:space="preserve">Champions/ Key Participants: </w:t>
      </w:r>
    </w:p>
    <w:p w14:paraId="1B3C0E4C"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Minnesota Technical Assistance Partnership (</w:t>
      </w:r>
      <w:proofErr w:type="spellStart"/>
      <w:r w:rsidRPr="00F041AD">
        <w:rPr>
          <w:color w:val="333333" w:themeColor="background1"/>
        </w:rPr>
        <w:t>MnTAP</w:t>
      </w:r>
      <w:proofErr w:type="spellEnd"/>
      <w:r w:rsidRPr="00F041AD">
        <w:rPr>
          <w:color w:val="333333" w:themeColor="background1"/>
        </w:rPr>
        <w:t>)</w:t>
      </w:r>
    </w:p>
    <w:p w14:paraId="69FD3B3F"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Energy Resources Center (ERC)</w:t>
      </w:r>
    </w:p>
    <w:p w14:paraId="32D6BE39"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Minnesota Department of Commerce</w:t>
      </w:r>
    </w:p>
    <w:p w14:paraId="734C5E7B" w14:textId="77777777" w:rsidR="00B65A50" w:rsidRPr="00F041AD" w:rsidRDefault="00B65A50" w:rsidP="00164A5A">
      <w:pPr>
        <w:pStyle w:val="5BodyText"/>
        <w:rPr>
          <w:b/>
          <w:color w:val="333333" w:themeColor="background1"/>
        </w:rPr>
      </w:pPr>
    </w:p>
    <w:p w14:paraId="53D1835A" w14:textId="77777777" w:rsidR="00B65A50" w:rsidRPr="00F041AD" w:rsidRDefault="00B65A50" w:rsidP="00164A5A">
      <w:pPr>
        <w:pStyle w:val="5BodyText"/>
        <w:numPr>
          <w:ilvl w:val="0"/>
          <w:numId w:val="119"/>
        </w:numPr>
        <w:rPr>
          <w:color w:val="333333" w:themeColor="background1"/>
        </w:rPr>
      </w:pPr>
      <w:r w:rsidRPr="00F041AD">
        <w:rPr>
          <w:b/>
          <w:color w:val="333333" w:themeColor="background1"/>
        </w:rPr>
        <w:t>Expand education and training resources on the Department of Commerce website.</w:t>
      </w:r>
      <w:r w:rsidRPr="00F041AD">
        <w:rPr>
          <w:color w:val="333333" w:themeColor="background1"/>
        </w:rPr>
        <w:t xml:space="preserve"> </w:t>
      </w:r>
      <w:r w:rsidRPr="00F041AD">
        <w:rPr>
          <w:color w:val="333333" w:themeColor="background1"/>
        </w:rPr>
        <w:br/>
        <w:t xml:space="preserve">Despite CHP’s promising outlook in Minnesota, many key stakeholders remain unaware of its potential for energy and cost savings. Further, many consider developing CHP projects to be complicated and uncertain, thereby discouraging new projects. Finally, the workforce and training resource currently available are insufficient to meet growing demand. Therefore, the Department of Commerce will continue to disseminate information about CHP opportunities through its website, webinars, and workshops. Commerce will also provide assistance for determining project feasibility, as well as resources for project evaluation and project financing. </w:t>
      </w:r>
    </w:p>
    <w:p w14:paraId="27A8F87A" w14:textId="77777777" w:rsidR="00B65A50" w:rsidRPr="00F041AD" w:rsidRDefault="00B65A50" w:rsidP="00164A5A">
      <w:pPr>
        <w:pStyle w:val="5BodyText"/>
        <w:rPr>
          <w:color w:val="333333" w:themeColor="background1"/>
        </w:rPr>
      </w:pPr>
    </w:p>
    <w:p w14:paraId="18511F90" w14:textId="77777777" w:rsidR="00B65A50" w:rsidRPr="00F041AD" w:rsidRDefault="00B65A50" w:rsidP="00164A5A">
      <w:pPr>
        <w:pStyle w:val="5BodyText"/>
        <w:ind w:left="720"/>
        <w:rPr>
          <w:color w:val="333333" w:themeColor="background1"/>
        </w:rPr>
      </w:pPr>
      <w:r w:rsidRPr="00F041AD">
        <w:rPr>
          <w:b/>
          <w:color w:val="333333" w:themeColor="background1"/>
        </w:rPr>
        <w:t>Champions/Key</w:t>
      </w:r>
      <w:r w:rsidRPr="00F041AD">
        <w:rPr>
          <w:color w:val="333333" w:themeColor="background1"/>
        </w:rPr>
        <w:t xml:space="preserve"> </w:t>
      </w:r>
      <w:r w:rsidRPr="00F041AD">
        <w:rPr>
          <w:b/>
          <w:color w:val="333333" w:themeColor="background1"/>
        </w:rPr>
        <w:t>Participants</w:t>
      </w:r>
      <w:r w:rsidRPr="00F041AD">
        <w:rPr>
          <w:color w:val="333333" w:themeColor="background1"/>
        </w:rPr>
        <w:t xml:space="preserve">: </w:t>
      </w:r>
    </w:p>
    <w:p w14:paraId="7B349679"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 xml:space="preserve">Minnesota Department of Commerce </w:t>
      </w:r>
    </w:p>
    <w:p w14:paraId="2B7DA4E2"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Energy Resources Center (ERC)</w:t>
      </w:r>
    </w:p>
    <w:p w14:paraId="0E2B2E92"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Great Plains Institute</w:t>
      </w:r>
    </w:p>
    <w:p w14:paraId="29A660EC"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Fresh Energy</w:t>
      </w:r>
    </w:p>
    <w:p w14:paraId="6EE0F4F4" w14:textId="77777777" w:rsidR="00B65A50" w:rsidRPr="00F041AD" w:rsidRDefault="00B65A50" w:rsidP="00164A5A">
      <w:pPr>
        <w:pStyle w:val="5BodyText"/>
        <w:rPr>
          <w:color w:val="333333" w:themeColor="background1"/>
        </w:rPr>
      </w:pPr>
    </w:p>
    <w:p w14:paraId="47222FD3" w14:textId="77777777" w:rsidR="00B65A50" w:rsidRPr="00F041AD" w:rsidRDefault="00B65A50" w:rsidP="00164A5A">
      <w:pPr>
        <w:pStyle w:val="5BodyText"/>
        <w:numPr>
          <w:ilvl w:val="0"/>
          <w:numId w:val="119"/>
        </w:numPr>
        <w:rPr>
          <w:color w:val="333333" w:themeColor="background1"/>
        </w:rPr>
      </w:pPr>
      <w:r w:rsidRPr="00F041AD">
        <w:rPr>
          <w:b/>
          <w:color w:val="333333" w:themeColor="background1"/>
        </w:rPr>
        <w:t>Leverage existing financing programs applicable to CHP</w:t>
      </w:r>
      <w:r w:rsidRPr="00F041AD">
        <w:rPr>
          <w:b/>
          <w:i/>
          <w:color w:val="333333" w:themeColor="background1"/>
        </w:rPr>
        <w:t xml:space="preserve">. </w:t>
      </w:r>
      <w:r w:rsidRPr="00F041AD">
        <w:rPr>
          <w:color w:val="333333" w:themeColor="background1"/>
        </w:rPr>
        <w:t xml:space="preserve">While Commerce explores ways to expand financing options for CHP projects, organizations outside of Commerce can explore CHP </w:t>
      </w:r>
      <w:r w:rsidRPr="00F041AD">
        <w:rPr>
          <w:color w:val="333333" w:themeColor="background1"/>
        </w:rPr>
        <w:lastRenderedPageBreak/>
        <w:t xml:space="preserve">financing and ownership issues, synthesize existing resources, and recommend how best to address gaps and barriers.  </w:t>
      </w:r>
    </w:p>
    <w:p w14:paraId="05917CCF" w14:textId="77777777" w:rsidR="00B65A50" w:rsidRPr="00F041AD" w:rsidRDefault="00B65A50" w:rsidP="00164A5A">
      <w:pPr>
        <w:pStyle w:val="5BodyText"/>
        <w:rPr>
          <w:b/>
          <w:color w:val="333333" w:themeColor="background1"/>
        </w:rPr>
      </w:pPr>
    </w:p>
    <w:p w14:paraId="396DCBCB" w14:textId="77777777" w:rsidR="00B65A50" w:rsidRPr="00F041AD" w:rsidRDefault="00B65A50" w:rsidP="00164A5A">
      <w:pPr>
        <w:pStyle w:val="5BodyText"/>
        <w:ind w:left="720"/>
        <w:rPr>
          <w:color w:val="333333" w:themeColor="background1"/>
        </w:rPr>
      </w:pPr>
      <w:r w:rsidRPr="00F041AD">
        <w:rPr>
          <w:b/>
          <w:color w:val="333333" w:themeColor="background1"/>
        </w:rPr>
        <w:t>Champions/Key</w:t>
      </w:r>
      <w:r w:rsidRPr="00F041AD">
        <w:rPr>
          <w:color w:val="333333" w:themeColor="background1"/>
        </w:rPr>
        <w:t xml:space="preserve"> </w:t>
      </w:r>
      <w:r w:rsidRPr="00F041AD">
        <w:rPr>
          <w:b/>
          <w:color w:val="333333" w:themeColor="background1"/>
        </w:rPr>
        <w:t>Participants</w:t>
      </w:r>
      <w:r w:rsidRPr="00F041AD">
        <w:rPr>
          <w:color w:val="333333" w:themeColor="background1"/>
        </w:rPr>
        <w:t xml:space="preserve">: </w:t>
      </w:r>
    </w:p>
    <w:p w14:paraId="4430063C" w14:textId="77777777" w:rsidR="00B65A50" w:rsidRPr="00F041AD" w:rsidRDefault="00B65A50" w:rsidP="00164A5A">
      <w:pPr>
        <w:pStyle w:val="5BodyText"/>
        <w:ind w:left="720"/>
        <w:rPr>
          <w:color w:val="333333" w:themeColor="background1"/>
        </w:rPr>
      </w:pPr>
      <w:r w:rsidRPr="00F041AD">
        <w:rPr>
          <w:color w:val="333333" w:themeColor="background1"/>
        </w:rPr>
        <w:t>Minnesota Department of Commerce</w:t>
      </w:r>
    </w:p>
    <w:p w14:paraId="016BFD53" w14:textId="77777777" w:rsidR="00B65A50" w:rsidRPr="00F041AD" w:rsidRDefault="00B65A50" w:rsidP="00164A5A">
      <w:pPr>
        <w:pStyle w:val="5BodyText"/>
        <w:ind w:left="720"/>
        <w:rPr>
          <w:color w:val="333333" w:themeColor="background1"/>
        </w:rPr>
      </w:pPr>
      <w:r w:rsidRPr="00F041AD">
        <w:rPr>
          <w:color w:val="333333" w:themeColor="background1"/>
        </w:rPr>
        <w:t xml:space="preserve">Saint Paul Port Authority </w:t>
      </w:r>
    </w:p>
    <w:p w14:paraId="26E1FE3E" w14:textId="77777777" w:rsidR="00B65A50" w:rsidRPr="00F041AD" w:rsidRDefault="00B65A50" w:rsidP="00164A5A">
      <w:pPr>
        <w:pStyle w:val="5BodyText"/>
        <w:rPr>
          <w:b/>
          <w:color w:val="333333" w:themeColor="background1"/>
        </w:rPr>
      </w:pPr>
    </w:p>
    <w:p w14:paraId="46E366FE" w14:textId="77777777" w:rsidR="00B65A50" w:rsidRPr="00F041AD" w:rsidRDefault="00B65A50" w:rsidP="00164A5A">
      <w:pPr>
        <w:pStyle w:val="5BodyText"/>
        <w:numPr>
          <w:ilvl w:val="0"/>
          <w:numId w:val="119"/>
        </w:numPr>
        <w:rPr>
          <w:color w:val="333333" w:themeColor="background1"/>
        </w:rPr>
      </w:pPr>
      <w:r w:rsidRPr="00F041AD">
        <w:rPr>
          <w:b/>
          <w:color w:val="333333" w:themeColor="background1"/>
        </w:rPr>
        <w:t>Examine electric utility infrastructure policy</w:t>
      </w:r>
      <w:r w:rsidRPr="00F041AD">
        <w:rPr>
          <w:color w:val="333333" w:themeColor="background1"/>
        </w:rPr>
        <w:t>.</w:t>
      </w:r>
      <w:r w:rsidRPr="00F041AD">
        <w:rPr>
          <w:color w:val="333333" w:themeColor="background1"/>
        </w:rPr>
        <w:br/>
        <w:t xml:space="preserve">CHP systems are not easily categorized as either a supply-side or demand-side efficiency resource, since CHP systems address whole-system efficiency improvements. Because these systems are not easily categorized, this makes project financing difficult. Therefore, stakeholders recommended categorizing CHP as supply-side conservation resources under the electric utility infrastructure (EUI) investments within CIP. Commerce is exploring if and how CHP could qualify as supply-side resources under EUI statutory language, and possible implications for demand-side resources. </w:t>
      </w:r>
    </w:p>
    <w:p w14:paraId="1CF2F4C8" w14:textId="77777777" w:rsidR="00B65A50" w:rsidRPr="00F041AD" w:rsidRDefault="00B65A50" w:rsidP="00164A5A">
      <w:pPr>
        <w:pStyle w:val="5BodyText"/>
        <w:rPr>
          <w:b/>
          <w:color w:val="333333" w:themeColor="background1"/>
        </w:rPr>
      </w:pPr>
    </w:p>
    <w:p w14:paraId="2FA55800" w14:textId="77777777" w:rsidR="00B65A50" w:rsidRPr="00F041AD" w:rsidRDefault="00B65A50" w:rsidP="00164A5A">
      <w:pPr>
        <w:pStyle w:val="5BodyText"/>
        <w:ind w:left="720"/>
        <w:rPr>
          <w:color w:val="333333" w:themeColor="background1"/>
        </w:rPr>
      </w:pPr>
      <w:r w:rsidRPr="00F041AD">
        <w:rPr>
          <w:b/>
          <w:color w:val="333333" w:themeColor="background1"/>
        </w:rPr>
        <w:t>Champions/Key Participants:</w:t>
      </w:r>
      <w:r w:rsidRPr="00F041AD">
        <w:rPr>
          <w:color w:val="333333" w:themeColor="background1"/>
        </w:rPr>
        <w:t xml:space="preserve"> </w:t>
      </w:r>
    </w:p>
    <w:p w14:paraId="752DCC71"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Minnesota Department of Commerce</w:t>
      </w:r>
    </w:p>
    <w:p w14:paraId="79090016"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GDS Associates</w:t>
      </w:r>
    </w:p>
    <w:p w14:paraId="695541B4"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 xml:space="preserve">Electric utilities </w:t>
      </w:r>
    </w:p>
    <w:p w14:paraId="06C67E05" w14:textId="77777777" w:rsidR="00B65A50" w:rsidRPr="00F041AD" w:rsidRDefault="00B65A50" w:rsidP="00164A5A">
      <w:pPr>
        <w:pStyle w:val="5BodyText"/>
        <w:rPr>
          <w:color w:val="333333" w:themeColor="background1"/>
        </w:rPr>
      </w:pPr>
    </w:p>
    <w:p w14:paraId="07DD4150" w14:textId="77777777" w:rsidR="00B65A50" w:rsidRPr="00F041AD" w:rsidRDefault="00B65A50" w:rsidP="00164A5A">
      <w:pPr>
        <w:pStyle w:val="5BodyText"/>
        <w:numPr>
          <w:ilvl w:val="0"/>
          <w:numId w:val="119"/>
        </w:numPr>
        <w:rPr>
          <w:color w:val="333333" w:themeColor="background1"/>
        </w:rPr>
      </w:pPr>
      <w:r w:rsidRPr="00F041AD">
        <w:rPr>
          <w:b/>
          <w:color w:val="333333" w:themeColor="background1"/>
        </w:rPr>
        <w:t>Continue discussion of standby rates through Public Utility Commission’s generic proceeding</w:t>
      </w:r>
      <w:r w:rsidRPr="00F041AD">
        <w:rPr>
          <w:b/>
          <w:i/>
          <w:color w:val="333333" w:themeColor="background1"/>
        </w:rPr>
        <w:t>.</w:t>
      </w:r>
      <w:r w:rsidRPr="00F041AD">
        <w:rPr>
          <w:color w:val="333333" w:themeColor="background1"/>
        </w:rPr>
        <w:t xml:space="preserve"> A recent study from Energy Resources Center indicated that current standby rates are an economic barrier to investment in CHP and other distributed resources. Utilities charge standby rates when a distributed generation system, such as an on-site CHP system, undergoes a planned or unexpected outage, and must rely on grid power. Standby charges typically include an energy charge, for the cost of energy provided, and a demand charge, to recover the cost of utilities to meet peak demand.</w:t>
      </w:r>
      <w:r w:rsidRPr="00F041AD">
        <w:rPr>
          <w:rStyle w:val="EndnoteReference"/>
          <w:color w:val="333333" w:themeColor="background1"/>
        </w:rPr>
        <w:endnoteReference w:id="236"/>
      </w:r>
    </w:p>
    <w:p w14:paraId="4E1F5614" w14:textId="77777777" w:rsidR="00B65A50" w:rsidRPr="00F041AD" w:rsidRDefault="00B65A50" w:rsidP="00164A5A">
      <w:pPr>
        <w:pStyle w:val="5BodyText"/>
        <w:ind w:left="720"/>
        <w:rPr>
          <w:color w:val="333333" w:themeColor="background1"/>
        </w:rPr>
      </w:pPr>
    </w:p>
    <w:p w14:paraId="23362A10" w14:textId="77777777" w:rsidR="00B65A50" w:rsidRPr="00F041AD" w:rsidRDefault="00B65A50" w:rsidP="00164A5A">
      <w:pPr>
        <w:pStyle w:val="5BodyText"/>
        <w:ind w:left="720"/>
        <w:rPr>
          <w:color w:val="333333" w:themeColor="background1"/>
        </w:rPr>
      </w:pPr>
      <w:r w:rsidRPr="00F041AD">
        <w:rPr>
          <w:color w:val="333333" w:themeColor="background1"/>
        </w:rPr>
        <w:t>Energy Resources Center estimated that the potential for new CHP capacity with a payback period of less than ten years would increase from 779 MW to 1116 MW if these barriers were eliminated. The stakeholders participating in the CHP action plan process recommended implementing transparent and unbundled pricing for standby rates. Commerce identified a Public Utilities Commission generic proceeding as an avenue to address standby rates.</w:t>
      </w:r>
    </w:p>
    <w:p w14:paraId="6FF877C2" w14:textId="77777777" w:rsidR="00B65A50" w:rsidRPr="00F041AD" w:rsidRDefault="00B65A50" w:rsidP="00164A5A">
      <w:pPr>
        <w:pStyle w:val="5BodyText"/>
        <w:rPr>
          <w:color w:val="333333" w:themeColor="background1"/>
        </w:rPr>
      </w:pPr>
    </w:p>
    <w:p w14:paraId="2A17466A" w14:textId="77777777" w:rsidR="00B65A50" w:rsidRPr="00F041AD" w:rsidRDefault="00B65A50" w:rsidP="00164A5A">
      <w:pPr>
        <w:pStyle w:val="5BodyText"/>
        <w:ind w:left="720"/>
        <w:rPr>
          <w:color w:val="333333" w:themeColor="background1"/>
        </w:rPr>
      </w:pPr>
      <w:r w:rsidRPr="00F041AD">
        <w:rPr>
          <w:b/>
          <w:color w:val="333333" w:themeColor="background1"/>
        </w:rPr>
        <w:t>Champions/Key Participants:</w:t>
      </w:r>
      <w:r w:rsidRPr="00F041AD">
        <w:rPr>
          <w:color w:val="333333" w:themeColor="background1"/>
        </w:rPr>
        <w:t xml:space="preserve"> </w:t>
      </w:r>
    </w:p>
    <w:p w14:paraId="59F50A93" w14:textId="77777777" w:rsidR="00B65A50" w:rsidRPr="00F041AD" w:rsidRDefault="00B65A50" w:rsidP="00164A5A">
      <w:pPr>
        <w:pStyle w:val="5BodyText"/>
        <w:ind w:left="720"/>
        <w:rPr>
          <w:color w:val="333333" w:themeColor="background1"/>
        </w:rPr>
      </w:pPr>
      <w:r w:rsidRPr="00F041AD">
        <w:rPr>
          <w:rFonts w:asciiTheme="majorHAnsi" w:hAnsiTheme="majorHAnsi"/>
          <w:color w:val="333333" w:themeColor="background1"/>
        </w:rPr>
        <w:t xml:space="preserve">- </w:t>
      </w:r>
      <w:r w:rsidRPr="00F041AD">
        <w:rPr>
          <w:color w:val="333333" w:themeColor="background1"/>
        </w:rPr>
        <w:t xml:space="preserve">CHP stakeholders </w:t>
      </w:r>
    </w:p>
    <w:p w14:paraId="28A3A0D7" w14:textId="77777777" w:rsidR="00B65A50" w:rsidRPr="00F041AD" w:rsidRDefault="00B65A50" w:rsidP="00164A5A">
      <w:pPr>
        <w:pStyle w:val="5BodyText"/>
        <w:rPr>
          <w:b/>
          <w:color w:val="333333" w:themeColor="background1"/>
        </w:rPr>
      </w:pPr>
    </w:p>
    <w:p w14:paraId="285E201D" w14:textId="77777777" w:rsidR="00B65A50" w:rsidRPr="00F041AD" w:rsidRDefault="00B65A50" w:rsidP="00164A5A">
      <w:pPr>
        <w:pStyle w:val="5BodyText"/>
        <w:rPr>
          <w:b/>
          <w:i/>
          <w:color w:val="333333" w:themeColor="background1"/>
        </w:rPr>
      </w:pPr>
      <w:r w:rsidRPr="00F041AD">
        <w:rPr>
          <w:b/>
          <w:i/>
          <w:color w:val="333333" w:themeColor="background1"/>
        </w:rPr>
        <w:lastRenderedPageBreak/>
        <w:t>Success factors</w:t>
      </w:r>
    </w:p>
    <w:p w14:paraId="3E02C15E" w14:textId="77777777" w:rsidR="00B65A50" w:rsidRPr="00F041AD" w:rsidRDefault="00B65A50" w:rsidP="00164A5A">
      <w:pPr>
        <w:pStyle w:val="5BodyText"/>
        <w:numPr>
          <w:ilvl w:val="0"/>
          <w:numId w:val="120"/>
        </w:numPr>
        <w:rPr>
          <w:b/>
          <w:color w:val="333333" w:themeColor="background1"/>
        </w:rPr>
      </w:pPr>
      <w:r w:rsidRPr="00F041AD">
        <w:rPr>
          <w:b/>
          <w:color w:val="333333" w:themeColor="background1"/>
        </w:rPr>
        <w:t xml:space="preserve">Access to qualified operation and maintenance technicians </w:t>
      </w:r>
      <w:r w:rsidRPr="00F041AD">
        <w:rPr>
          <w:color w:val="333333" w:themeColor="background1"/>
        </w:rPr>
        <w:t>is necessary to service projects.</w:t>
      </w:r>
    </w:p>
    <w:p w14:paraId="0AC0FBE8" w14:textId="77777777" w:rsidR="00B65A50" w:rsidRPr="00F041AD" w:rsidRDefault="00B65A50" w:rsidP="00164A5A">
      <w:pPr>
        <w:pStyle w:val="5BodyText"/>
        <w:numPr>
          <w:ilvl w:val="0"/>
          <w:numId w:val="120"/>
        </w:numPr>
        <w:rPr>
          <w:b/>
          <w:color w:val="333333" w:themeColor="background1"/>
        </w:rPr>
      </w:pPr>
      <w:r w:rsidRPr="00F041AD">
        <w:rPr>
          <w:b/>
          <w:color w:val="333333" w:themeColor="background1"/>
        </w:rPr>
        <w:t xml:space="preserve">Readily available case studies or examples of successful CHP projects </w:t>
      </w:r>
      <w:r w:rsidRPr="00F041AD">
        <w:rPr>
          <w:color w:val="333333" w:themeColor="background1"/>
        </w:rPr>
        <w:t>in different sectors to inspire pursuit of new projects.</w:t>
      </w:r>
    </w:p>
    <w:p w14:paraId="288CB512" w14:textId="77777777" w:rsidR="00B65A50" w:rsidRPr="00F041AD" w:rsidRDefault="00B65A50" w:rsidP="00164A5A">
      <w:pPr>
        <w:pStyle w:val="5BodyText"/>
        <w:rPr>
          <w:color w:val="333333" w:themeColor="background1"/>
        </w:rPr>
      </w:pPr>
    </w:p>
    <w:p w14:paraId="390B3973" w14:textId="77777777" w:rsidR="00B65A50" w:rsidRPr="00F041AD" w:rsidRDefault="00B65A50" w:rsidP="00164A5A">
      <w:pPr>
        <w:pStyle w:val="5BodyText"/>
        <w:rPr>
          <w:b/>
          <w:i/>
          <w:color w:val="333333" w:themeColor="background1"/>
        </w:rPr>
      </w:pPr>
      <w:r w:rsidRPr="00F041AD">
        <w:rPr>
          <w:b/>
          <w:i/>
          <w:color w:val="333333" w:themeColor="background1"/>
        </w:rPr>
        <w:t>Indicators of strategy success</w:t>
      </w:r>
    </w:p>
    <w:p w14:paraId="7EA7B64F" w14:textId="77777777" w:rsidR="00B65A50" w:rsidRPr="00F041AD" w:rsidRDefault="00B65A50" w:rsidP="00164A5A">
      <w:pPr>
        <w:pStyle w:val="5BodyText"/>
        <w:numPr>
          <w:ilvl w:val="0"/>
          <w:numId w:val="121"/>
        </w:numPr>
        <w:rPr>
          <w:color w:val="333333" w:themeColor="background1"/>
        </w:rPr>
      </w:pPr>
      <w:r w:rsidRPr="00F041AD">
        <w:rPr>
          <w:color w:val="333333" w:themeColor="background1"/>
        </w:rPr>
        <w:t>Total fuel savings (Btu) from CHP projects</w:t>
      </w:r>
    </w:p>
    <w:p w14:paraId="0309E41F" w14:textId="032EDDAE" w:rsidR="003F711F" w:rsidRPr="00F041AD" w:rsidRDefault="00B65A50" w:rsidP="00164A5A">
      <w:pPr>
        <w:pStyle w:val="5BodyText"/>
        <w:numPr>
          <w:ilvl w:val="0"/>
          <w:numId w:val="121"/>
        </w:numPr>
        <w:rPr>
          <w:rFonts w:asciiTheme="majorHAnsi" w:hAnsiTheme="majorHAnsi"/>
          <w:color w:val="333333" w:themeColor="background1"/>
        </w:rPr>
      </w:pPr>
      <w:r w:rsidRPr="00F041AD">
        <w:rPr>
          <w:color w:val="333333" w:themeColor="background1"/>
        </w:rPr>
        <w:t>Number of new CHP installations and added capacity</w:t>
      </w:r>
      <w:r w:rsidR="00D45A7C">
        <w:rPr>
          <w:rStyle w:val="FootnoteReference"/>
          <w:color w:val="333333" w:themeColor="background1"/>
        </w:rPr>
        <w:footnoteReference w:id="3"/>
      </w:r>
    </w:p>
    <w:p w14:paraId="2D8130A3" w14:textId="77777777" w:rsidR="00B65A50" w:rsidRPr="00F041AD" w:rsidRDefault="00B65A50" w:rsidP="00164A5A">
      <w:pPr>
        <w:pStyle w:val="5BodyText"/>
        <w:rPr>
          <w:color w:val="333333" w:themeColor="background1"/>
        </w:rPr>
      </w:pPr>
    </w:p>
    <w:p w14:paraId="5033999C" w14:textId="77777777" w:rsidR="00B65A50" w:rsidRPr="00F041AD" w:rsidRDefault="00B65A50" w:rsidP="00164A5A">
      <w:pPr>
        <w:pStyle w:val="5BodyText"/>
        <w:rPr>
          <w:b/>
          <w:i/>
          <w:color w:val="333333" w:themeColor="background1"/>
        </w:rPr>
      </w:pPr>
      <w:r w:rsidRPr="00F041AD">
        <w:rPr>
          <w:b/>
          <w:i/>
          <w:color w:val="333333" w:themeColor="background1"/>
        </w:rPr>
        <w:t>Cross-sector opportunities and synergies</w:t>
      </w:r>
    </w:p>
    <w:p w14:paraId="6698CF95" w14:textId="77777777" w:rsidR="00B65A50" w:rsidRPr="00F041AD" w:rsidRDefault="00B65A50" w:rsidP="00164A5A">
      <w:pPr>
        <w:pStyle w:val="5BodyText"/>
        <w:numPr>
          <w:ilvl w:val="0"/>
          <w:numId w:val="122"/>
        </w:numPr>
        <w:rPr>
          <w:color w:val="333333" w:themeColor="background1"/>
        </w:rPr>
      </w:pPr>
      <w:r w:rsidRPr="00F041AD">
        <w:rPr>
          <w:color w:val="333333" w:themeColor="background1"/>
        </w:rPr>
        <w:t xml:space="preserve">Waste-heat capture and CHP integration at </w:t>
      </w:r>
      <w:r w:rsidRPr="00F041AD">
        <w:rPr>
          <w:b/>
          <w:color w:val="333333" w:themeColor="background1"/>
        </w:rPr>
        <w:t>advanced biofuel and biobased chemical</w:t>
      </w:r>
      <w:r w:rsidRPr="00F041AD">
        <w:rPr>
          <w:color w:val="333333" w:themeColor="background1"/>
        </w:rPr>
        <w:t xml:space="preserve"> production facilities. </w:t>
      </w:r>
    </w:p>
    <w:p w14:paraId="0F608623" w14:textId="77777777" w:rsidR="00B65A50" w:rsidRPr="00F041AD" w:rsidRDefault="00B65A50" w:rsidP="00164A5A">
      <w:pPr>
        <w:pStyle w:val="5BodyText"/>
        <w:numPr>
          <w:ilvl w:val="0"/>
          <w:numId w:val="122"/>
        </w:numPr>
        <w:rPr>
          <w:color w:val="333333" w:themeColor="background1"/>
        </w:rPr>
      </w:pPr>
      <w:r w:rsidRPr="00F041AD">
        <w:rPr>
          <w:color w:val="333333" w:themeColor="background1"/>
        </w:rPr>
        <w:t xml:space="preserve">Biogas from </w:t>
      </w:r>
      <w:r w:rsidRPr="00F041AD">
        <w:rPr>
          <w:b/>
          <w:color w:val="333333" w:themeColor="background1"/>
        </w:rPr>
        <w:t>anaerobic digestion</w:t>
      </w:r>
      <w:r w:rsidRPr="00F041AD">
        <w:rPr>
          <w:color w:val="333333" w:themeColor="background1"/>
        </w:rPr>
        <w:t xml:space="preserve"> as a fuel source for CHP projects. </w:t>
      </w:r>
    </w:p>
    <w:p w14:paraId="05069BA0" w14:textId="77777777" w:rsidR="00B65A50" w:rsidRPr="00F041AD" w:rsidRDefault="00B65A50" w:rsidP="00164A5A">
      <w:pPr>
        <w:pStyle w:val="5BodyText"/>
        <w:numPr>
          <w:ilvl w:val="0"/>
          <w:numId w:val="122"/>
        </w:numPr>
        <w:rPr>
          <w:color w:val="333333" w:themeColor="background1"/>
        </w:rPr>
      </w:pPr>
      <w:r w:rsidRPr="00F041AD">
        <w:rPr>
          <w:color w:val="333333" w:themeColor="background1"/>
        </w:rPr>
        <w:t xml:space="preserve">CHP as a strategy to increase </w:t>
      </w:r>
      <w:r w:rsidRPr="00F041AD">
        <w:rPr>
          <w:b/>
          <w:color w:val="333333" w:themeColor="background1"/>
        </w:rPr>
        <w:t>industrial energy efficiency.</w:t>
      </w:r>
      <w:r w:rsidRPr="00F041AD">
        <w:rPr>
          <w:color w:val="333333" w:themeColor="background1"/>
        </w:rPr>
        <w:t xml:space="preserve"> Development opportunities in northern MN for harvesting heat for secondary use in mining, pulp/paper, and timber industries. </w:t>
      </w:r>
    </w:p>
    <w:p w14:paraId="698CF15C" w14:textId="77777777" w:rsidR="00B65A50" w:rsidRPr="00F041AD" w:rsidRDefault="00B65A50" w:rsidP="00164A5A">
      <w:pPr>
        <w:pStyle w:val="5BodyText"/>
        <w:rPr>
          <w:color w:val="333333" w:themeColor="background1"/>
        </w:rPr>
      </w:pPr>
    </w:p>
    <w:p w14:paraId="5F144504" w14:textId="77777777" w:rsidR="00B65A50" w:rsidRPr="00F041AD" w:rsidRDefault="00B65A50" w:rsidP="00164A5A">
      <w:pPr>
        <w:pStyle w:val="5BodyText"/>
        <w:rPr>
          <w:b/>
          <w:i/>
          <w:color w:val="333333" w:themeColor="background1"/>
        </w:rPr>
      </w:pPr>
      <w:r w:rsidRPr="00F041AD">
        <w:rPr>
          <w:b/>
          <w:i/>
          <w:color w:val="333333" w:themeColor="background1"/>
        </w:rPr>
        <w:t>Ongoing Minnesota initiatives</w:t>
      </w:r>
    </w:p>
    <w:p w14:paraId="27A88831" w14:textId="77777777" w:rsidR="00B65A50" w:rsidRPr="00F041AD" w:rsidRDefault="00B65A50" w:rsidP="00164A5A">
      <w:pPr>
        <w:pStyle w:val="5BodyText"/>
        <w:numPr>
          <w:ilvl w:val="0"/>
          <w:numId w:val="123"/>
        </w:numPr>
        <w:rPr>
          <w:color w:val="333333" w:themeColor="background1"/>
        </w:rPr>
      </w:pPr>
      <w:r w:rsidRPr="00F041AD">
        <w:rPr>
          <w:color w:val="333333" w:themeColor="background1"/>
        </w:rPr>
        <w:t xml:space="preserve">MN DOC CHP </w:t>
      </w:r>
      <w:hyperlink r:id="rId185">
        <w:r w:rsidRPr="00F041AD">
          <w:rPr>
            <w:color w:val="333333" w:themeColor="background1"/>
            <w:u w:val="single"/>
          </w:rPr>
          <w:t>Stakeholder Engagemen</w:t>
        </w:r>
      </w:hyperlink>
      <w:r w:rsidRPr="00F041AD">
        <w:rPr>
          <w:color w:val="333333" w:themeColor="background1"/>
        </w:rPr>
        <w:t xml:space="preserve">t website tracks and disseminates information on </w:t>
      </w:r>
      <w:hyperlink r:id="rId186">
        <w:r w:rsidRPr="00F041AD">
          <w:rPr>
            <w:color w:val="333333" w:themeColor="background1"/>
            <w:u w:val="single"/>
          </w:rPr>
          <w:t>implementation activities</w:t>
        </w:r>
      </w:hyperlink>
      <w:r w:rsidRPr="00F041AD">
        <w:rPr>
          <w:color w:val="333333" w:themeColor="background1"/>
        </w:rPr>
        <w:t xml:space="preserve"> of the final CHP action plan.</w:t>
      </w:r>
      <w:r w:rsidRPr="00F041AD">
        <w:rPr>
          <w:rStyle w:val="EndnoteReference"/>
          <w:rFonts w:asciiTheme="minorHAnsi" w:hAnsiTheme="minorHAnsi"/>
          <w:color w:val="333333" w:themeColor="background1"/>
        </w:rPr>
        <w:endnoteReference w:id="237"/>
      </w:r>
      <w:r w:rsidRPr="00F041AD">
        <w:rPr>
          <w:color w:val="333333" w:themeColor="background1"/>
        </w:rPr>
        <w:t xml:space="preserve"> </w:t>
      </w:r>
      <w:r w:rsidRPr="00F041AD">
        <w:rPr>
          <w:rStyle w:val="EndnoteReference"/>
          <w:rFonts w:asciiTheme="minorHAnsi" w:hAnsiTheme="minorHAnsi"/>
          <w:color w:val="333333" w:themeColor="background1"/>
        </w:rPr>
        <w:endnoteReference w:id="238"/>
      </w:r>
    </w:p>
    <w:p w14:paraId="077D7C32" w14:textId="77777777" w:rsidR="00B65A50" w:rsidRPr="00F041AD" w:rsidRDefault="00B65A50" w:rsidP="00164A5A">
      <w:pPr>
        <w:pStyle w:val="5BodyText"/>
        <w:rPr>
          <w:color w:val="333333" w:themeColor="background1"/>
        </w:rPr>
      </w:pPr>
    </w:p>
    <w:p w14:paraId="74124D12" w14:textId="77777777" w:rsidR="00B65A50" w:rsidRPr="00F041AD" w:rsidRDefault="006506BB" w:rsidP="00164A5A">
      <w:pPr>
        <w:pStyle w:val="5BodyText"/>
        <w:numPr>
          <w:ilvl w:val="0"/>
          <w:numId w:val="123"/>
        </w:numPr>
        <w:rPr>
          <w:b/>
          <w:color w:val="333333" w:themeColor="background1"/>
        </w:rPr>
      </w:pPr>
      <w:hyperlink r:id="rId187">
        <w:r w:rsidR="00B65A50" w:rsidRPr="00F041AD">
          <w:rPr>
            <w:color w:val="333333" w:themeColor="background1"/>
            <w:u w:val="single"/>
          </w:rPr>
          <w:t>MN Technical Assistance Partnership</w:t>
        </w:r>
      </w:hyperlink>
      <w:r w:rsidR="00B65A50" w:rsidRPr="00F041AD">
        <w:rPr>
          <w:color w:val="333333" w:themeColor="background1"/>
        </w:rPr>
        <w:t xml:space="preserve"> at the University of Minnesota works with MN businesses to develop and implement industry-specific solutions to prevent pollution, maximize efficient use of resources, and reduce energy use and costs.</w:t>
      </w:r>
      <w:r w:rsidR="00B65A50" w:rsidRPr="00F041AD">
        <w:rPr>
          <w:rStyle w:val="EndnoteReference"/>
          <w:rFonts w:asciiTheme="minorHAnsi" w:hAnsiTheme="minorHAnsi"/>
          <w:color w:val="333333" w:themeColor="background1"/>
        </w:rPr>
        <w:endnoteReference w:id="239"/>
      </w:r>
      <w:r w:rsidR="00B65A50" w:rsidRPr="00F041AD">
        <w:rPr>
          <w:color w:val="333333" w:themeColor="background1"/>
        </w:rPr>
        <w:t xml:space="preserve"> </w:t>
      </w:r>
    </w:p>
    <w:p w14:paraId="7D23B39B" w14:textId="77777777" w:rsidR="00B65A50" w:rsidRPr="00F041AD" w:rsidRDefault="00B65A50" w:rsidP="00164A5A">
      <w:pPr>
        <w:pStyle w:val="5BodyText"/>
        <w:rPr>
          <w:b/>
          <w:color w:val="333333" w:themeColor="background1"/>
        </w:rPr>
      </w:pPr>
    </w:p>
    <w:p w14:paraId="5DAE3C1D" w14:textId="77777777" w:rsidR="00B65A50" w:rsidRPr="00F041AD" w:rsidRDefault="00B65A50" w:rsidP="00164A5A">
      <w:pPr>
        <w:pStyle w:val="5BodyText"/>
        <w:numPr>
          <w:ilvl w:val="0"/>
          <w:numId w:val="123"/>
        </w:numPr>
        <w:rPr>
          <w:b/>
          <w:color w:val="333333" w:themeColor="background1"/>
        </w:rPr>
      </w:pPr>
      <w:r w:rsidRPr="00F041AD">
        <w:rPr>
          <w:color w:val="333333" w:themeColor="background1"/>
        </w:rPr>
        <w:t xml:space="preserve">In 2015, the Minnesota Public Utilities Commission opened a generic proceeding on standby service tariffs </w:t>
      </w:r>
      <w:hyperlink r:id="rId188" w:history="1">
        <w:r w:rsidRPr="00F041AD">
          <w:rPr>
            <w:rStyle w:val="Hyperlink"/>
            <w:color w:val="333333" w:themeColor="background1"/>
          </w:rPr>
          <w:t>(docket 15-115)</w:t>
        </w:r>
      </w:hyperlink>
      <w:r w:rsidRPr="00F041AD">
        <w:rPr>
          <w:color w:val="333333" w:themeColor="background1"/>
        </w:rPr>
        <w:t>.</w:t>
      </w:r>
      <w:r w:rsidRPr="00F041AD">
        <w:rPr>
          <w:rStyle w:val="EndnoteReference"/>
          <w:color w:val="333333" w:themeColor="background1"/>
        </w:rPr>
        <w:endnoteReference w:id="240"/>
      </w:r>
    </w:p>
    <w:p w14:paraId="004519A7" w14:textId="77777777" w:rsidR="00B65A50" w:rsidRPr="00F041AD" w:rsidRDefault="00B65A50" w:rsidP="00164A5A">
      <w:pPr>
        <w:pStyle w:val="5BodyText"/>
        <w:rPr>
          <w:color w:val="333333" w:themeColor="background1"/>
        </w:rPr>
      </w:pPr>
      <w:r w:rsidRPr="00F041AD">
        <w:rPr>
          <w:color w:val="333333" w:themeColor="background1"/>
        </w:rPr>
        <w:t xml:space="preserve"> </w:t>
      </w:r>
    </w:p>
    <w:p w14:paraId="75F5CB78" w14:textId="77777777" w:rsidR="00B65A50" w:rsidRPr="00F041AD" w:rsidRDefault="00B65A50" w:rsidP="00164A5A">
      <w:pPr>
        <w:pStyle w:val="5BodyText"/>
        <w:rPr>
          <w:b/>
          <w:i/>
          <w:color w:val="333333" w:themeColor="background1"/>
        </w:rPr>
      </w:pPr>
      <w:r w:rsidRPr="00F041AD">
        <w:rPr>
          <w:b/>
          <w:i/>
          <w:color w:val="333333" w:themeColor="background1"/>
        </w:rPr>
        <w:t>Other related resources</w:t>
      </w:r>
    </w:p>
    <w:p w14:paraId="718BB673" w14:textId="77777777" w:rsidR="00B65A50" w:rsidRPr="00F041AD" w:rsidRDefault="00B65A50" w:rsidP="00164A5A">
      <w:pPr>
        <w:pStyle w:val="5BodyText"/>
        <w:numPr>
          <w:ilvl w:val="0"/>
          <w:numId w:val="124"/>
        </w:numPr>
        <w:rPr>
          <w:color w:val="333333" w:themeColor="background1"/>
        </w:rPr>
      </w:pPr>
      <w:r w:rsidRPr="00F041AD">
        <w:rPr>
          <w:color w:val="333333" w:themeColor="background1"/>
        </w:rPr>
        <w:t xml:space="preserve">The U.S. Department of Energy’s </w:t>
      </w:r>
      <w:hyperlink r:id="rId189">
        <w:r w:rsidRPr="00F041AD">
          <w:rPr>
            <w:color w:val="333333" w:themeColor="background1"/>
            <w:u w:val="single"/>
          </w:rPr>
          <w:t>CHP Deployment Group</w:t>
        </w:r>
      </w:hyperlink>
      <w:r w:rsidRPr="00F041AD">
        <w:rPr>
          <w:color w:val="333333" w:themeColor="background1"/>
        </w:rPr>
        <w:t xml:space="preserve"> serves as the center for CHP technical assistance at the DOE. Headquarter operations tracks CHP installs, works on CHP policies, develops targeting material materials, and other central operations.</w:t>
      </w:r>
      <w:r w:rsidRPr="00F041AD">
        <w:rPr>
          <w:rStyle w:val="EndnoteReference"/>
          <w:color w:val="333333" w:themeColor="background1"/>
        </w:rPr>
        <w:endnoteReference w:id="241"/>
      </w:r>
      <w:r w:rsidRPr="00F041AD">
        <w:rPr>
          <w:color w:val="333333" w:themeColor="background1"/>
        </w:rPr>
        <w:t xml:space="preserve"> </w:t>
      </w:r>
    </w:p>
    <w:p w14:paraId="17E34BBF" w14:textId="77777777" w:rsidR="00B65A50" w:rsidRPr="00F041AD" w:rsidRDefault="00B65A50" w:rsidP="00164A5A">
      <w:pPr>
        <w:pStyle w:val="5BodyText"/>
        <w:rPr>
          <w:color w:val="333333" w:themeColor="background1"/>
        </w:rPr>
      </w:pPr>
    </w:p>
    <w:p w14:paraId="05DD9C82" w14:textId="77777777" w:rsidR="00B65A50" w:rsidRPr="00F041AD" w:rsidRDefault="00B65A50" w:rsidP="00164A5A">
      <w:pPr>
        <w:pStyle w:val="5BodyText"/>
        <w:numPr>
          <w:ilvl w:val="0"/>
          <w:numId w:val="124"/>
        </w:numPr>
        <w:rPr>
          <w:b/>
          <w:color w:val="333333" w:themeColor="background1"/>
        </w:rPr>
      </w:pPr>
      <w:r w:rsidRPr="00F041AD">
        <w:rPr>
          <w:color w:val="333333" w:themeColor="background1"/>
        </w:rPr>
        <w:t xml:space="preserve">The </w:t>
      </w:r>
      <w:hyperlink r:id="rId190">
        <w:r w:rsidRPr="00F041AD">
          <w:rPr>
            <w:color w:val="333333" w:themeColor="background1"/>
            <w:u w:val="single"/>
          </w:rPr>
          <w:t>U.S. Department of Energy, Midwest CHP Technical Assistance Partnership</w:t>
        </w:r>
      </w:hyperlink>
      <w:r w:rsidRPr="00F041AD">
        <w:rPr>
          <w:color w:val="333333" w:themeColor="background1"/>
        </w:rPr>
        <w:t xml:space="preserve"> provides a wide variety of technical assistance resources and is a second arm of the DOE CHP deployment group.</w:t>
      </w:r>
      <w:r w:rsidRPr="00F041AD">
        <w:rPr>
          <w:rStyle w:val="EndnoteReference"/>
          <w:color w:val="333333" w:themeColor="background1"/>
        </w:rPr>
        <w:endnoteReference w:id="242"/>
      </w:r>
      <w:r w:rsidRPr="00F041AD">
        <w:rPr>
          <w:color w:val="333333" w:themeColor="background1"/>
        </w:rPr>
        <w:t xml:space="preserve"> </w:t>
      </w:r>
    </w:p>
    <w:p w14:paraId="21C9CA98" w14:textId="77777777" w:rsidR="00B65A50" w:rsidRPr="00F041AD" w:rsidRDefault="00B65A50" w:rsidP="00164A5A">
      <w:pPr>
        <w:pStyle w:val="5BodyText"/>
        <w:rPr>
          <w:b/>
          <w:color w:val="333333" w:themeColor="background1"/>
        </w:rPr>
      </w:pPr>
    </w:p>
    <w:p w14:paraId="556DF8DE" w14:textId="77777777" w:rsidR="00B65A50" w:rsidRPr="00F041AD" w:rsidRDefault="00B65A50" w:rsidP="00164A5A">
      <w:pPr>
        <w:pStyle w:val="5BodyText"/>
        <w:numPr>
          <w:ilvl w:val="0"/>
          <w:numId w:val="124"/>
        </w:numPr>
        <w:rPr>
          <w:rStyle w:val="Hyperlink"/>
          <w:color w:val="333333" w:themeColor="background1"/>
        </w:rPr>
      </w:pPr>
      <w:r w:rsidRPr="00F041AD">
        <w:rPr>
          <w:color w:val="333333" w:themeColor="background1"/>
        </w:rPr>
        <w:t>State and Local Energy Efficiency Action (SEE Action) Network’s “</w:t>
      </w:r>
      <w:hyperlink r:id="rId191" w:history="1">
        <w:r w:rsidRPr="00F041AD">
          <w:rPr>
            <w:rStyle w:val="Hyperlink"/>
            <w:color w:val="333333" w:themeColor="background1"/>
          </w:rPr>
          <w:t>Guide to the Successful Implementation of State Combined Heat and Power Policies</w:t>
        </w:r>
      </w:hyperlink>
      <w:r w:rsidRPr="00F041AD">
        <w:rPr>
          <w:color w:val="333333" w:themeColor="background1"/>
        </w:rPr>
        <w:t>,” discusses CHP policies and successful implementation cases.</w:t>
      </w:r>
      <w:r w:rsidRPr="00F041AD">
        <w:rPr>
          <w:rStyle w:val="EndnoteReference"/>
          <w:color w:val="333333" w:themeColor="background1"/>
        </w:rPr>
        <w:endnoteReference w:id="243"/>
      </w:r>
      <w:r w:rsidRPr="00F041AD" w:rsidDel="00F20F52">
        <w:rPr>
          <w:color w:val="333333" w:themeColor="background1"/>
        </w:rPr>
        <w:t xml:space="preserve"> </w:t>
      </w:r>
    </w:p>
    <w:p w14:paraId="76F139B5" w14:textId="77777777" w:rsidR="00B65A50" w:rsidRPr="00F041AD" w:rsidRDefault="00B65A50" w:rsidP="00164A5A">
      <w:pPr>
        <w:pStyle w:val="5BodyText"/>
        <w:rPr>
          <w:color w:val="333333" w:themeColor="background1"/>
        </w:rPr>
      </w:pPr>
    </w:p>
    <w:p w14:paraId="1F3FC586" w14:textId="77777777" w:rsidR="00B65A50" w:rsidRPr="00F041AD" w:rsidRDefault="00B65A50" w:rsidP="00164A5A">
      <w:pPr>
        <w:pStyle w:val="5BodyText"/>
        <w:numPr>
          <w:ilvl w:val="0"/>
          <w:numId w:val="124"/>
        </w:numPr>
        <w:rPr>
          <w:color w:val="333333" w:themeColor="background1"/>
        </w:rPr>
      </w:pPr>
      <w:r w:rsidRPr="00F041AD">
        <w:rPr>
          <w:color w:val="333333" w:themeColor="background1"/>
          <w:u w:val="single"/>
        </w:rPr>
        <w:t xml:space="preserve">The U.S. Department of Energy’s </w:t>
      </w:r>
      <w:hyperlink r:id="rId192" w:history="1">
        <w:r w:rsidRPr="00F041AD">
          <w:rPr>
            <w:rStyle w:val="Hyperlink"/>
            <w:color w:val="333333" w:themeColor="background1"/>
          </w:rPr>
          <w:t>Combined Heat and Power Installation Database</w:t>
        </w:r>
      </w:hyperlink>
      <w:r w:rsidRPr="00F041AD">
        <w:rPr>
          <w:color w:val="333333" w:themeColor="background1"/>
          <w:u w:val="single"/>
        </w:rPr>
        <w:t xml:space="preserve"> </w:t>
      </w:r>
      <w:r w:rsidRPr="00F041AD">
        <w:rPr>
          <w:color w:val="333333" w:themeColor="background1"/>
        </w:rPr>
        <w:t>identifies CHP installations in Minnesota and other states.</w:t>
      </w:r>
      <w:r w:rsidRPr="00F041AD">
        <w:rPr>
          <w:rStyle w:val="EndnoteReference"/>
          <w:color w:val="333333" w:themeColor="background1"/>
        </w:rPr>
        <w:endnoteReference w:id="244"/>
      </w:r>
    </w:p>
    <w:p w14:paraId="73EF6652" w14:textId="77777777" w:rsidR="0053594C" w:rsidRDefault="0053594C" w:rsidP="007F3F44">
      <w:pPr>
        <w:pStyle w:val="6BodyHighlight"/>
        <w:rPr>
          <w:color w:val="333333" w:themeColor="background1"/>
        </w:rPr>
      </w:pPr>
    </w:p>
    <w:p w14:paraId="7F3D8418" w14:textId="74F0454A" w:rsidR="00B65A50" w:rsidRPr="00F041AD" w:rsidRDefault="00F65476" w:rsidP="007F3F44">
      <w:pPr>
        <w:pStyle w:val="6BodyHighlight"/>
        <w:rPr>
          <w:color w:val="333333" w:themeColor="background1"/>
        </w:rPr>
        <w:sectPr w:rsidR="00B65A50" w:rsidRPr="00F041AD" w:rsidSect="00564DC9">
          <w:footnotePr>
            <w:numFmt w:val="lowerRoman"/>
          </w:footnotePr>
          <w:endnotePr>
            <w:numFmt w:val="decimal"/>
          </w:endnotePr>
          <w:type w:val="continuous"/>
          <w:pgSz w:w="12240" w:h="15840"/>
          <w:pgMar w:top="1627" w:right="1080" w:bottom="1440" w:left="1080" w:header="720" w:footer="278" w:gutter="0"/>
          <w:cols w:space="720"/>
          <w:titlePg/>
        </w:sectPr>
      </w:pPr>
      <w:bookmarkStart w:id="237" w:name="_Toc322961649"/>
      <w:r w:rsidRPr="00F041AD">
        <w:rPr>
          <w:color w:val="333333" w:themeColor="background1"/>
        </w:rPr>
        <w:t>References</w:t>
      </w:r>
      <w:bookmarkEnd w:id="237"/>
    </w:p>
    <w:p w14:paraId="462652E5" w14:textId="4288D83D" w:rsidR="00B65A50" w:rsidRPr="00F041AD" w:rsidRDefault="00B65A50" w:rsidP="00875F55">
      <w:pPr>
        <w:pStyle w:val="3SectionTitle"/>
        <w:rPr>
          <w:color w:val="333333" w:themeColor="background1"/>
        </w:rPr>
      </w:pPr>
      <w:bookmarkStart w:id="238" w:name="_Toc322933805"/>
      <w:bookmarkStart w:id="239" w:name="_Toc322961650"/>
      <w:bookmarkStart w:id="240" w:name="_Toc322962050"/>
      <w:bookmarkStart w:id="241" w:name="_Toc322962237"/>
      <w:r w:rsidRPr="00F041AD">
        <w:rPr>
          <w:color w:val="333333" w:themeColor="background1"/>
        </w:rPr>
        <w:lastRenderedPageBreak/>
        <w:t>D: Industrial and Agricultural sectors</w:t>
      </w:r>
      <w:bookmarkEnd w:id="238"/>
      <w:bookmarkEnd w:id="239"/>
      <w:bookmarkEnd w:id="240"/>
      <w:bookmarkEnd w:id="241"/>
    </w:p>
    <w:p w14:paraId="6C9483BD" w14:textId="77777777" w:rsidR="00B65A50" w:rsidRPr="00F041AD" w:rsidRDefault="00B65A50" w:rsidP="007F3F44">
      <w:pPr>
        <w:pStyle w:val="6BodyHighlight"/>
        <w:rPr>
          <w:color w:val="333333" w:themeColor="background1"/>
        </w:rPr>
      </w:pPr>
    </w:p>
    <w:p w14:paraId="62F2728B" w14:textId="2558A7E8" w:rsidR="00B65A50" w:rsidRPr="00F041AD" w:rsidRDefault="00B65A50" w:rsidP="007F3F44">
      <w:pPr>
        <w:pStyle w:val="6BodyHighlight"/>
        <w:rPr>
          <w:color w:val="333333" w:themeColor="background1"/>
        </w:rPr>
      </w:pPr>
      <w:bookmarkStart w:id="242" w:name="_Toc322961651"/>
      <w:r w:rsidRPr="00F041AD">
        <w:rPr>
          <w:color w:val="333333" w:themeColor="background1"/>
        </w:rPr>
        <w:t>Section summary</w:t>
      </w:r>
      <w:bookmarkEnd w:id="242"/>
    </w:p>
    <w:p w14:paraId="4B6686DE" w14:textId="05FC95EF" w:rsidR="00B65A50" w:rsidRPr="00F041AD" w:rsidRDefault="00B65A50" w:rsidP="009D21AE">
      <w:pPr>
        <w:pStyle w:val="5BodyText"/>
        <w:rPr>
          <w:color w:val="333333" w:themeColor="background1"/>
        </w:rPr>
      </w:pPr>
      <w:r w:rsidRPr="00F041AD">
        <w:rPr>
          <w:color w:val="333333" w:themeColor="background1"/>
        </w:rPr>
        <w:t>The industrial and agricultural sectors account for a large portion of the state’s economic output as well as its energy use. These sectors consume 34 percent of the state’s total energy</w:t>
      </w:r>
      <w:r w:rsidRPr="00F041AD">
        <w:rPr>
          <w:color w:val="333333" w:themeColor="background1"/>
          <w:vertAlign w:val="superscript"/>
        </w:rPr>
        <w:endnoteReference w:id="245"/>
      </w:r>
      <w:r w:rsidRPr="00F041AD">
        <w:rPr>
          <w:color w:val="333333" w:themeColor="background1"/>
        </w:rPr>
        <w:t>—more than the residential, commercial, or industrial sectors. This energy is used to drive a major economic engine, with agriculture accounting for 22 percent of the gross state product.</w:t>
      </w:r>
      <w:r w:rsidRPr="00F041AD">
        <w:rPr>
          <w:color w:val="333333" w:themeColor="background1"/>
          <w:vertAlign w:val="superscript"/>
        </w:rPr>
        <w:endnoteReference w:id="246"/>
      </w:r>
      <w:r w:rsidRPr="00F041AD">
        <w:rPr>
          <w:color w:val="333333" w:themeColor="background1"/>
        </w:rPr>
        <w:t xml:space="preserve"> </w:t>
      </w:r>
    </w:p>
    <w:p w14:paraId="3750D7F4" w14:textId="77777777" w:rsidR="00B65A50" w:rsidRPr="00F041AD" w:rsidRDefault="00B65A50" w:rsidP="009D21AE">
      <w:pPr>
        <w:pStyle w:val="5BodyText"/>
        <w:rPr>
          <w:color w:val="333333" w:themeColor="background1"/>
        </w:rPr>
      </w:pPr>
    </w:p>
    <w:p w14:paraId="3379754C" w14:textId="6AAC6914" w:rsidR="00B65A50" w:rsidRPr="00F041AD" w:rsidRDefault="00B65A50" w:rsidP="009D21AE">
      <w:pPr>
        <w:pStyle w:val="5BodyText"/>
        <w:rPr>
          <w:color w:val="333333" w:themeColor="background1"/>
        </w:rPr>
      </w:pPr>
      <w:r w:rsidRPr="00F041AD">
        <w:rPr>
          <w:color w:val="333333" w:themeColor="background1"/>
        </w:rPr>
        <w:t>Minnesota has made significant progress in addressing the energy intensity of its industrial sector, with companies realizing significant energy savings both independently and with the help of state programs. In addition, Minnesota has been a national leader in bioenergy development, with more than 1.1 billion gallons of corn ethanol production capacity</w:t>
      </w:r>
      <w:r w:rsidRPr="00F041AD">
        <w:rPr>
          <w:color w:val="333333" w:themeColor="background1"/>
          <w:vertAlign w:val="superscript"/>
        </w:rPr>
        <w:endnoteReference w:id="247"/>
      </w:r>
      <w:r w:rsidRPr="00F041AD">
        <w:rPr>
          <w:color w:val="333333" w:themeColor="background1"/>
        </w:rPr>
        <w:t xml:space="preserve"> and 63 million gallons of biodiesel production capacity.</w:t>
      </w:r>
      <w:r w:rsidRPr="00F041AD">
        <w:rPr>
          <w:color w:val="333333" w:themeColor="background1"/>
          <w:vertAlign w:val="superscript"/>
        </w:rPr>
        <w:endnoteReference w:id="248"/>
      </w:r>
      <w:r w:rsidRPr="00F041AD">
        <w:rPr>
          <w:color w:val="333333" w:themeColor="background1"/>
        </w:rPr>
        <w:t xml:space="preserve"> </w:t>
      </w:r>
    </w:p>
    <w:p w14:paraId="5595AD4A" w14:textId="77777777" w:rsidR="00B65A50" w:rsidRPr="00F041AD" w:rsidRDefault="00B65A50" w:rsidP="009D21AE">
      <w:pPr>
        <w:pStyle w:val="5BodyText"/>
        <w:rPr>
          <w:color w:val="333333" w:themeColor="background1"/>
        </w:rPr>
      </w:pPr>
    </w:p>
    <w:p w14:paraId="6A25D110" w14:textId="77777777" w:rsidR="00B65A50" w:rsidRPr="00F041AD" w:rsidRDefault="00B65A50" w:rsidP="009D21AE">
      <w:pPr>
        <w:pStyle w:val="5BodyText"/>
        <w:rPr>
          <w:color w:val="333333" w:themeColor="background1"/>
        </w:rPr>
      </w:pPr>
      <w:r w:rsidRPr="00F041AD">
        <w:rPr>
          <w:color w:val="333333" w:themeColor="background1"/>
        </w:rPr>
        <w:t xml:space="preserve">Still, there remain significant opportunities for Minnesota’s industry to achieve cost savings through energy productivity, and continue Minnesota’s economic growth through bioenergy and additional clean energy technologies. </w:t>
      </w:r>
    </w:p>
    <w:p w14:paraId="47D24334" w14:textId="77777777" w:rsidR="00B65A50" w:rsidRPr="00F041AD" w:rsidRDefault="00B65A50" w:rsidP="009D21AE">
      <w:pPr>
        <w:pStyle w:val="5BodyText"/>
        <w:rPr>
          <w:color w:val="333333" w:themeColor="background1"/>
        </w:rPr>
      </w:pPr>
    </w:p>
    <w:p w14:paraId="68690D69" w14:textId="77777777" w:rsidR="00B65A50" w:rsidRPr="00F041AD" w:rsidRDefault="00B65A50" w:rsidP="009D21AE">
      <w:pPr>
        <w:pStyle w:val="5BodyText"/>
        <w:rPr>
          <w:b/>
          <w:color w:val="333333" w:themeColor="background1"/>
        </w:rPr>
      </w:pPr>
      <w:r w:rsidRPr="00F041AD">
        <w:rPr>
          <w:b/>
          <w:color w:val="333333" w:themeColor="background1"/>
        </w:rPr>
        <w:t>Promoting bioenergy in the agricultural sector</w:t>
      </w:r>
    </w:p>
    <w:p w14:paraId="21346816" w14:textId="77777777" w:rsidR="00B65A50" w:rsidRPr="00F041AD" w:rsidRDefault="00B65A50" w:rsidP="009D21AE">
      <w:pPr>
        <w:pStyle w:val="5BodyText"/>
        <w:rPr>
          <w:color w:val="333333" w:themeColor="background1"/>
        </w:rPr>
      </w:pPr>
      <w:r w:rsidRPr="00F041AD">
        <w:rPr>
          <w:color w:val="333333" w:themeColor="background1"/>
        </w:rPr>
        <w:t>Minnesota can build upon its bioenergy resources to create low-carbon fuels for a variety of uses. Stakeholders identified the following strategies to promote bioenergy:</w:t>
      </w:r>
    </w:p>
    <w:p w14:paraId="7289DFE4" w14:textId="77777777" w:rsidR="00B65A50" w:rsidRPr="00F041AD" w:rsidRDefault="00B65A50" w:rsidP="009D21AE">
      <w:pPr>
        <w:pStyle w:val="5BodyText"/>
        <w:rPr>
          <w:color w:val="333333" w:themeColor="background1"/>
        </w:rPr>
      </w:pPr>
    </w:p>
    <w:p w14:paraId="2E5F2E1B" w14:textId="77777777" w:rsidR="00B65A50" w:rsidRPr="00F041AD" w:rsidRDefault="00B65A50" w:rsidP="00F655E6">
      <w:pPr>
        <w:pStyle w:val="5BodyText"/>
        <w:numPr>
          <w:ilvl w:val="0"/>
          <w:numId w:val="56"/>
        </w:numPr>
        <w:rPr>
          <w:b/>
          <w:color w:val="333333" w:themeColor="background1"/>
        </w:rPr>
      </w:pPr>
      <w:r w:rsidRPr="00F041AD">
        <w:rPr>
          <w:b/>
          <w:color w:val="333333" w:themeColor="background1"/>
        </w:rPr>
        <w:t xml:space="preserve">Commercialize advanced biofuels and biobased chemicals </w:t>
      </w:r>
      <w:r w:rsidRPr="00F041AD">
        <w:rPr>
          <w:color w:val="333333" w:themeColor="background1"/>
        </w:rPr>
        <w:t xml:space="preserve">through supply chain mapping, addressing feedstock supply and infrastructure, and identifying and addressing permitting barriers. </w:t>
      </w:r>
    </w:p>
    <w:p w14:paraId="14789A74" w14:textId="77777777" w:rsidR="00B65A50" w:rsidRPr="00F041AD" w:rsidRDefault="00B65A50" w:rsidP="00F655E6">
      <w:pPr>
        <w:pStyle w:val="5BodyText"/>
        <w:numPr>
          <w:ilvl w:val="0"/>
          <w:numId w:val="56"/>
        </w:numPr>
        <w:rPr>
          <w:b/>
          <w:color w:val="333333" w:themeColor="background1"/>
        </w:rPr>
      </w:pPr>
      <w:r w:rsidRPr="00F041AD">
        <w:rPr>
          <w:b/>
          <w:color w:val="333333" w:themeColor="background1"/>
        </w:rPr>
        <w:t>Capture organic feedstocks through anaerobic digestion</w:t>
      </w:r>
      <w:r w:rsidRPr="00F041AD">
        <w:rPr>
          <w:color w:val="333333" w:themeColor="background1"/>
        </w:rPr>
        <w:t xml:space="preserve"> by resetting the conversation on anaerobic digestion, incorporating anaerobic digestion into MPCA’s solid waste hierarchy, and establishing a public-private partnership to demonstrate an anaerobic digestion project incorporating biogas.</w:t>
      </w:r>
    </w:p>
    <w:p w14:paraId="71CA030B" w14:textId="77777777" w:rsidR="00B65A50" w:rsidRPr="00F041AD" w:rsidRDefault="00B65A50" w:rsidP="009D21AE">
      <w:pPr>
        <w:pStyle w:val="5BodyText"/>
        <w:rPr>
          <w:color w:val="333333" w:themeColor="background1"/>
        </w:rPr>
      </w:pPr>
    </w:p>
    <w:p w14:paraId="6DE3B1F5" w14:textId="77777777" w:rsidR="00B65A50" w:rsidRPr="00F041AD" w:rsidRDefault="00B65A50" w:rsidP="009D21AE">
      <w:pPr>
        <w:pStyle w:val="5BodyText"/>
        <w:rPr>
          <w:b/>
          <w:color w:val="333333" w:themeColor="background1"/>
        </w:rPr>
      </w:pPr>
      <w:r w:rsidRPr="00F041AD">
        <w:rPr>
          <w:b/>
          <w:color w:val="333333" w:themeColor="background1"/>
        </w:rPr>
        <w:t>Reducing wasted energy and promoting clean energy focus in industry</w:t>
      </w:r>
    </w:p>
    <w:p w14:paraId="532EF2AC" w14:textId="77777777" w:rsidR="00B65A50" w:rsidRPr="00F041AD" w:rsidRDefault="00B65A50" w:rsidP="009D21AE">
      <w:pPr>
        <w:pStyle w:val="5BodyText"/>
        <w:rPr>
          <w:color w:val="333333" w:themeColor="background1"/>
        </w:rPr>
      </w:pPr>
      <w:r w:rsidRPr="00F041AD">
        <w:rPr>
          <w:color w:val="333333" w:themeColor="background1"/>
        </w:rPr>
        <w:t>Minnesota’s industries can lower their energy costs and improve competitiveness by pursuing energy efficiency. Further, they can contribute to the state’s economy by helping to grow the clean energy industry. Stakeholders identified the following strategies to promote energy efficiency and clean energy:</w:t>
      </w:r>
    </w:p>
    <w:p w14:paraId="4B209543" w14:textId="77777777" w:rsidR="00B65A50" w:rsidRPr="00F041AD" w:rsidRDefault="00B65A50" w:rsidP="009D21AE">
      <w:pPr>
        <w:pStyle w:val="5BodyText"/>
        <w:rPr>
          <w:color w:val="333333" w:themeColor="background1"/>
        </w:rPr>
      </w:pPr>
    </w:p>
    <w:p w14:paraId="3C0B10F1" w14:textId="364BDAEB" w:rsidR="00B65A50" w:rsidRPr="00F041AD" w:rsidRDefault="00B65A50" w:rsidP="00F655E6">
      <w:pPr>
        <w:pStyle w:val="5BodyText"/>
        <w:numPr>
          <w:ilvl w:val="0"/>
          <w:numId w:val="57"/>
        </w:numPr>
        <w:rPr>
          <w:b/>
          <w:color w:val="333333" w:themeColor="background1"/>
        </w:rPr>
      </w:pPr>
      <w:r w:rsidRPr="00F041AD">
        <w:rPr>
          <w:b/>
          <w:color w:val="333333" w:themeColor="background1"/>
        </w:rPr>
        <w:t>Promote industrial</w:t>
      </w:r>
      <w:r w:rsidR="0009215A">
        <w:rPr>
          <w:b/>
          <w:color w:val="333333" w:themeColor="background1"/>
        </w:rPr>
        <w:t xml:space="preserve"> and agricultural</w:t>
      </w:r>
      <w:r w:rsidRPr="00F041AD">
        <w:rPr>
          <w:b/>
          <w:color w:val="333333" w:themeColor="background1"/>
        </w:rPr>
        <w:t xml:space="preserve"> efficiency practices </w:t>
      </w:r>
      <w:r w:rsidRPr="00F041AD">
        <w:rPr>
          <w:color w:val="333333" w:themeColor="background1"/>
        </w:rPr>
        <w:t xml:space="preserve">by sharing </w:t>
      </w:r>
      <w:r w:rsidR="0009215A">
        <w:rPr>
          <w:color w:val="333333" w:themeColor="background1"/>
        </w:rPr>
        <w:t>state and federal</w:t>
      </w:r>
      <w:r w:rsidRPr="00F041AD">
        <w:rPr>
          <w:color w:val="333333" w:themeColor="background1"/>
        </w:rPr>
        <w:t xml:space="preserve"> programs to improve energy productivity, and strengthening peer networks to share best practices on energy management. </w:t>
      </w:r>
    </w:p>
    <w:p w14:paraId="0F95D315" w14:textId="171A3D72" w:rsidR="00B65A50" w:rsidRPr="00F041AD" w:rsidRDefault="0009215A" w:rsidP="00F655E6">
      <w:pPr>
        <w:pStyle w:val="5BodyText"/>
        <w:numPr>
          <w:ilvl w:val="0"/>
          <w:numId w:val="57"/>
        </w:numPr>
        <w:rPr>
          <w:b/>
          <w:color w:val="333333" w:themeColor="background1"/>
        </w:rPr>
      </w:pPr>
      <w:r w:rsidRPr="0009215A">
        <w:rPr>
          <w:b/>
          <w:color w:val="333333" w:themeColor="background1"/>
        </w:rPr>
        <w:lastRenderedPageBreak/>
        <w:t>Coordinate and promote the clean energy industry</w:t>
      </w:r>
      <w:r w:rsidR="00B65A50" w:rsidRPr="00F041AD">
        <w:rPr>
          <w:b/>
          <w:color w:val="333333" w:themeColor="background1"/>
        </w:rPr>
        <w:t xml:space="preserve"> </w:t>
      </w:r>
      <w:r w:rsidR="00B65A50" w:rsidRPr="00F041AD">
        <w:rPr>
          <w:color w:val="333333" w:themeColor="background1"/>
        </w:rPr>
        <w:t xml:space="preserve">to coalesce Minnesota’s energy and business community around the state’s competitive strengths in clean energy. </w:t>
      </w:r>
    </w:p>
    <w:p w14:paraId="18054D64" w14:textId="77777777" w:rsidR="00B65A50" w:rsidRPr="00F041AD" w:rsidRDefault="00B65A50" w:rsidP="009D21AE">
      <w:pPr>
        <w:pStyle w:val="Normal2"/>
        <w:pBdr>
          <w:bottom w:val="single" w:sz="6" w:space="1" w:color="auto"/>
        </w:pBdr>
        <w:rPr>
          <w:rFonts w:asciiTheme="minorHAnsi" w:hAnsiTheme="minorHAnsi"/>
          <w:color w:val="333333" w:themeColor="background1"/>
        </w:rPr>
      </w:pPr>
    </w:p>
    <w:p w14:paraId="01CF84D4" w14:textId="4D194BC3" w:rsidR="00B65A50" w:rsidRPr="00F041AD" w:rsidRDefault="00B65A50" w:rsidP="009D21AE">
      <w:pPr>
        <w:pStyle w:val="Normal2"/>
        <w:rPr>
          <w:color w:val="333333" w:themeColor="background1"/>
        </w:rPr>
      </w:pPr>
      <w:r w:rsidRPr="00F041AD">
        <w:rPr>
          <w:rFonts w:asciiTheme="minorHAnsi" w:hAnsiTheme="minorHAnsi"/>
          <w:color w:val="333333" w:themeColor="background1"/>
        </w:rPr>
        <w:t xml:space="preserve"> </w:t>
      </w:r>
    </w:p>
    <w:p w14:paraId="2C66D8D5" w14:textId="77777777" w:rsidR="00100FA0" w:rsidRPr="00F041AD" w:rsidRDefault="00100FA0">
      <w:pPr>
        <w:rPr>
          <w:color w:val="333333" w:themeColor="background1"/>
          <w:sz w:val="20"/>
        </w:rPr>
      </w:pPr>
      <w:r w:rsidRPr="00F041AD">
        <w:rPr>
          <w:color w:val="333333" w:themeColor="background1"/>
        </w:rPr>
        <w:br w:type="page"/>
      </w:r>
    </w:p>
    <w:p w14:paraId="05453748" w14:textId="2B746C2E" w:rsidR="00B65A50" w:rsidRPr="00F041AD" w:rsidRDefault="00B65A50" w:rsidP="00E161C4">
      <w:pPr>
        <w:pStyle w:val="5BodyText"/>
        <w:rPr>
          <w:color w:val="333333" w:themeColor="background1"/>
        </w:rPr>
      </w:pPr>
      <w:r w:rsidRPr="00F041AD">
        <w:rPr>
          <w:color w:val="333333" w:themeColor="background1"/>
        </w:rPr>
        <w:lastRenderedPageBreak/>
        <w:t>This section outlines strategies to both reduce energy waste in the industry and agricultural sectors, as well as leverage these sectors’ potential to drive economic growth and clean energy progress in the state more broadly.</w:t>
      </w:r>
    </w:p>
    <w:p w14:paraId="3621E536" w14:textId="77777777" w:rsidR="00B65A50" w:rsidRPr="00F041AD" w:rsidRDefault="00B65A50" w:rsidP="006F1867">
      <w:pPr>
        <w:pStyle w:val="5BodyText"/>
        <w:rPr>
          <w:color w:val="333333" w:themeColor="background1"/>
        </w:rPr>
      </w:pPr>
    </w:p>
    <w:p w14:paraId="001143F3" w14:textId="69C48BB3" w:rsidR="00B65A50" w:rsidRPr="00F041AD" w:rsidRDefault="00B65A50" w:rsidP="007F3F44">
      <w:pPr>
        <w:pStyle w:val="6BodyHighlight"/>
        <w:rPr>
          <w:color w:val="333333" w:themeColor="background1"/>
        </w:rPr>
      </w:pPr>
      <w:bookmarkStart w:id="243" w:name="_Toc322961652"/>
      <w:r w:rsidRPr="00F041AD">
        <w:rPr>
          <w:color w:val="333333" w:themeColor="background1"/>
        </w:rPr>
        <w:t>Energy profile</w:t>
      </w:r>
      <w:bookmarkEnd w:id="243"/>
    </w:p>
    <w:p w14:paraId="3809BAD1" w14:textId="07A2E3FA" w:rsidR="00B65A50" w:rsidRPr="00F041AD" w:rsidRDefault="00275965" w:rsidP="000A0551">
      <w:pPr>
        <w:pStyle w:val="5BodyText"/>
        <w:rPr>
          <w:color w:val="333333" w:themeColor="background1"/>
        </w:rPr>
      </w:pPr>
      <w:r w:rsidRPr="00F041AD">
        <w:rPr>
          <w:noProof/>
          <w:color w:val="333333" w:themeColor="background1"/>
          <w:lang w:eastAsia="en-US"/>
        </w:rPr>
        <mc:AlternateContent>
          <mc:Choice Requires="wps">
            <w:drawing>
              <wp:anchor distT="0" distB="0" distL="114300" distR="114300" simplePos="0" relativeHeight="251704320" behindDoc="0" locked="0" layoutInCell="1" allowOverlap="1" wp14:anchorId="19596720" wp14:editId="5A7F10C9">
                <wp:simplePos x="0" y="0"/>
                <wp:positionH relativeFrom="column">
                  <wp:posOffset>3774440</wp:posOffset>
                </wp:positionH>
                <wp:positionV relativeFrom="paragraph">
                  <wp:posOffset>496570</wp:posOffset>
                </wp:positionV>
                <wp:extent cx="2566035" cy="230568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566035" cy="23056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85A4BC" w14:textId="77777777" w:rsidR="006506BB" w:rsidRPr="00275965" w:rsidRDefault="006506BB" w:rsidP="00275965">
                            <w:pPr>
                              <w:pStyle w:val="4Quote"/>
                            </w:pPr>
                            <w:r w:rsidRPr="00275965">
                              <w:t xml:space="preserve">Minnesota is a national leader in bioenergy </w:t>
                            </w:r>
                            <w:r w:rsidRPr="00F35183">
                              <w:rPr>
                                <w:szCs w:val="28"/>
                              </w:rPr>
                              <w:t>development</w:t>
                            </w:r>
                            <w:r w:rsidRPr="00275965">
                              <w:t>, with 1.1 billion gallons of ethanol production capacity. Agriculture and industry leaders can continue to create competitive edge for Minnesota in the clean energy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8" type="#_x0000_t202" style="position:absolute;margin-left:297.2pt;margin-top:39.1pt;width:202.05pt;height:181.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" filled="f" stroked="f">
                <v:textbox>
                  <w:txbxContent>
                    <w:p w14:paraId="1285A4BC" w14:textId="77777777" w:rsidR="006506BB" w:rsidRPr="00275965" w:rsidRDefault="006506BB" w:rsidP="00275965">
                      <w:pPr>
                        <w:pStyle w:val="4Quote"/>
                      </w:pPr>
                      <w:r w:rsidRPr="00275965">
                        <w:t xml:space="preserve">Minnesota is a national leader in bioenergy </w:t>
                      </w:r>
                      <w:r w:rsidRPr="00F35183">
                        <w:rPr>
                          <w:szCs w:val="28"/>
                        </w:rPr>
                        <w:t>development</w:t>
                      </w:r>
                      <w:r w:rsidRPr="00275965">
                        <w:t>, with 1.1 billion gallons of ethanol production capacity. Agriculture and industry leaders can continue to create competitive edge for Minnesota in the clean energy industry.</w:t>
                      </w:r>
                    </w:p>
                  </w:txbxContent>
                </v:textbox>
                <w10:wrap type="square"/>
              </v:shape>
            </w:pict>
          </mc:Fallback>
        </mc:AlternateContent>
      </w:r>
      <w:r w:rsidR="00B65A50" w:rsidRPr="00F041AD">
        <w:rPr>
          <w:color w:val="333333" w:themeColor="background1"/>
        </w:rPr>
        <w:t>Minnesota’s industrial and agricultural sectors</w:t>
      </w:r>
      <w:r w:rsidR="00E0047C" w:rsidRPr="00F041AD">
        <w:rPr>
          <w:rStyle w:val="FootnoteReference"/>
          <w:color w:val="333333" w:themeColor="background1"/>
        </w:rPr>
        <w:footnoteReference w:id="4"/>
      </w:r>
      <w:r w:rsidR="00E0047C" w:rsidRPr="00F041AD">
        <w:rPr>
          <w:color w:val="333333" w:themeColor="background1"/>
        </w:rPr>
        <w:t xml:space="preserve"> </w:t>
      </w:r>
      <w:r w:rsidR="00B65A50" w:rsidRPr="00F041AD">
        <w:rPr>
          <w:color w:val="333333" w:themeColor="background1"/>
        </w:rPr>
        <w:t>account for a large portion of energy use in Minnesota and also a major portion of the state’s economic output. In 2013, the Minnesota industrial sector, as defined by the U.S. Energy Information Agency, consumed 34 percent of total energy in the state, more than the residential, commercial or transportation sectors.</w:t>
      </w:r>
      <w:r w:rsidR="00B65A50" w:rsidRPr="00F041AD">
        <w:rPr>
          <w:color w:val="333333" w:themeColor="background1"/>
          <w:vertAlign w:val="superscript"/>
        </w:rPr>
        <w:endnoteReference w:id="249"/>
      </w:r>
      <w:r w:rsidR="00B65A50" w:rsidRPr="00F041AD">
        <w:rPr>
          <w:color w:val="333333" w:themeColor="background1"/>
        </w:rPr>
        <w:t xml:space="preserve"> This energy is used to drive a major economic engine, accounting for 22 percent of gross state product.</w:t>
      </w:r>
      <w:r w:rsidR="00B65A50" w:rsidRPr="00F041AD">
        <w:rPr>
          <w:color w:val="333333" w:themeColor="background1"/>
          <w:vertAlign w:val="superscript"/>
        </w:rPr>
        <w:endnoteReference w:id="250"/>
      </w:r>
      <w:r w:rsidR="00B65A50" w:rsidRPr="00F041AD">
        <w:rPr>
          <w:color w:val="333333" w:themeColor="background1"/>
        </w:rPr>
        <w:t xml:space="preserve"> In particular, agriculture is a key state industry, helping Minnesota rank fourth nationally in total agricultural cash receipts.</w:t>
      </w:r>
      <w:r w:rsidR="00B65A50" w:rsidRPr="00F041AD">
        <w:rPr>
          <w:color w:val="333333" w:themeColor="background1"/>
          <w:vertAlign w:val="superscript"/>
        </w:rPr>
        <w:endnoteReference w:id="251"/>
      </w:r>
    </w:p>
    <w:p w14:paraId="6850A7E2" w14:textId="2E2F9BB0" w:rsidR="00B65A50" w:rsidRPr="00F041AD" w:rsidRDefault="00B65A50" w:rsidP="000A0551">
      <w:pPr>
        <w:pStyle w:val="5BodyText"/>
        <w:rPr>
          <w:color w:val="333333" w:themeColor="background1"/>
        </w:rPr>
      </w:pPr>
    </w:p>
    <w:p w14:paraId="2206D462" w14:textId="09E65801" w:rsidR="00B65A50" w:rsidRPr="00F041AD" w:rsidRDefault="00B65A50" w:rsidP="000A0551">
      <w:pPr>
        <w:pStyle w:val="5BodyText"/>
        <w:rPr>
          <w:color w:val="333333" w:themeColor="background1"/>
        </w:rPr>
      </w:pPr>
      <w:r w:rsidRPr="00F041AD">
        <w:rPr>
          <w:color w:val="333333" w:themeColor="background1"/>
        </w:rPr>
        <w:t>Minnesota has made significant progress in reducing the energy intensity of its industrial sector, as well as steering the economic engines of industry and agriculture towards supplying and supporting clean energy. A 2015 study on the economic impact of the state’s Conservation Improvement Program found that every dollar invested in CIP provides $4 to $4.30 in energy savings, environmental benefits, and new economic activity.</w:t>
      </w:r>
      <w:r w:rsidRPr="00F041AD">
        <w:rPr>
          <w:color w:val="333333" w:themeColor="background1"/>
          <w:vertAlign w:val="superscript"/>
        </w:rPr>
        <w:endnoteReference w:id="252"/>
      </w:r>
      <w:r w:rsidRPr="00F041AD">
        <w:rPr>
          <w:color w:val="333333" w:themeColor="background1"/>
        </w:rPr>
        <w:t xml:space="preserve">  Another state funded program, the Minnesota Technical Assistance </w:t>
      </w:r>
      <w:r w:rsidR="00E0047C" w:rsidRPr="00F041AD">
        <w:rPr>
          <w:color w:val="333333" w:themeColor="background1"/>
        </w:rPr>
        <w:t>Program</w:t>
      </w:r>
      <w:r w:rsidRPr="00F041AD">
        <w:rPr>
          <w:color w:val="333333" w:themeColor="background1"/>
        </w:rPr>
        <w:t xml:space="preserve">, assisted 56 Minnesota companies in 2015 to achieve 2.3 million kWh and 238,000 </w:t>
      </w:r>
      <w:proofErr w:type="spellStart"/>
      <w:r w:rsidRPr="00F041AD">
        <w:rPr>
          <w:color w:val="333333" w:themeColor="background1"/>
        </w:rPr>
        <w:t>therms</w:t>
      </w:r>
      <w:proofErr w:type="spellEnd"/>
      <w:r w:rsidRPr="00F041AD">
        <w:rPr>
          <w:color w:val="333333" w:themeColor="background1"/>
        </w:rPr>
        <w:t xml:space="preserve"> of energy savings.</w:t>
      </w:r>
      <w:r w:rsidRPr="00F041AD">
        <w:rPr>
          <w:color w:val="333333" w:themeColor="background1"/>
          <w:vertAlign w:val="superscript"/>
        </w:rPr>
        <w:endnoteReference w:id="253"/>
      </w:r>
      <w:r w:rsidRPr="00F041AD">
        <w:rPr>
          <w:color w:val="333333" w:themeColor="background1"/>
        </w:rPr>
        <w:t xml:space="preserve"> In addition, many companies are implementing energy efficiency measures on their own or through federal incentives and technical assistance programs.</w:t>
      </w:r>
    </w:p>
    <w:p w14:paraId="76E67A35" w14:textId="77777777" w:rsidR="00B65A50" w:rsidRPr="00F041AD" w:rsidRDefault="00B65A50" w:rsidP="000A0551">
      <w:pPr>
        <w:pStyle w:val="5BodyText"/>
        <w:rPr>
          <w:color w:val="333333" w:themeColor="background1"/>
        </w:rPr>
      </w:pPr>
    </w:p>
    <w:p w14:paraId="79457FA3" w14:textId="568FF7DE" w:rsidR="00B65A50" w:rsidRPr="00F041AD" w:rsidRDefault="00B65A50" w:rsidP="000A0551">
      <w:pPr>
        <w:pStyle w:val="5BodyText"/>
        <w:rPr>
          <w:color w:val="333333" w:themeColor="background1"/>
        </w:rPr>
      </w:pPr>
      <w:r w:rsidRPr="00F041AD">
        <w:rPr>
          <w:color w:val="333333" w:themeColor="background1"/>
        </w:rPr>
        <w:t>Investments in energy efficiency improve the economy in two ways: (1) spending on energy efficiency projects supports jobs and business for contractors and suppliers directly involved in the projects, and (2) the money that consumers save from lower utility bills can be spent on other goods and services.</w:t>
      </w:r>
      <w:r w:rsidRPr="00F041AD">
        <w:rPr>
          <w:color w:val="333333" w:themeColor="background1"/>
          <w:vertAlign w:val="superscript"/>
        </w:rPr>
        <w:endnoteReference w:id="254"/>
      </w:r>
      <w:r w:rsidRPr="00F041AD">
        <w:rPr>
          <w:color w:val="333333" w:themeColor="background1"/>
        </w:rPr>
        <w:t xml:space="preserve">  Minnesota’s agricultural industry has </w:t>
      </w:r>
      <w:r w:rsidR="00E0047C" w:rsidRPr="00F041AD">
        <w:rPr>
          <w:color w:val="333333" w:themeColor="background1"/>
        </w:rPr>
        <w:t>been a leader</w:t>
      </w:r>
      <w:r w:rsidRPr="00F041AD">
        <w:rPr>
          <w:color w:val="333333" w:themeColor="background1"/>
        </w:rPr>
        <w:t xml:space="preserve"> in bioenergy development, with 21 corn ethanol plants with 1.1 billion gallons of production capacity</w:t>
      </w:r>
      <w:r w:rsidRPr="00F041AD">
        <w:rPr>
          <w:color w:val="333333" w:themeColor="background1"/>
          <w:vertAlign w:val="superscript"/>
        </w:rPr>
        <w:endnoteReference w:id="255"/>
      </w:r>
      <w:r w:rsidRPr="00F041AD">
        <w:rPr>
          <w:color w:val="333333" w:themeColor="background1"/>
        </w:rPr>
        <w:t xml:space="preserve"> and 63 million gallons of biodiesel production capacity</w:t>
      </w:r>
      <w:r w:rsidRPr="00F041AD">
        <w:rPr>
          <w:color w:val="333333" w:themeColor="background1"/>
          <w:vertAlign w:val="superscript"/>
        </w:rPr>
        <w:endnoteReference w:id="256"/>
      </w:r>
      <w:r w:rsidRPr="00F041AD">
        <w:rPr>
          <w:color w:val="333333" w:themeColor="background1"/>
        </w:rPr>
        <w:t>. Furthermore, clean energy has a growing role in the state’s economy, with sector workers in 2013 earning over $1 billion in wages and salary, an increase of nearly 80 percent from the year 2000.</w:t>
      </w:r>
      <w:r w:rsidRPr="00F041AD">
        <w:rPr>
          <w:color w:val="333333" w:themeColor="background1"/>
          <w:vertAlign w:val="superscript"/>
        </w:rPr>
        <w:endnoteReference w:id="257"/>
      </w:r>
      <w:r w:rsidRPr="00F041AD">
        <w:rPr>
          <w:color w:val="333333" w:themeColor="background1"/>
        </w:rPr>
        <w:t xml:space="preserve"> </w:t>
      </w:r>
    </w:p>
    <w:p w14:paraId="71266A2F" w14:textId="77777777" w:rsidR="00B65A50" w:rsidRPr="00F041AD" w:rsidRDefault="00B65A50" w:rsidP="00E161C4">
      <w:pPr>
        <w:pStyle w:val="5BodyText"/>
        <w:rPr>
          <w:color w:val="333333" w:themeColor="background1"/>
        </w:rPr>
      </w:pPr>
    </w:p>
    <w:p w14:paraId="47B7CC53" w14:textId="58779B10" w:rsidR="00B65A50" w:rsidRPr="00F041AD" w:rsidRDefault="00B65A50" w:rsidP="007F3F44">
      <w:pPr>
        <w:pStyle w:val="6BodyHighlight"/>
        <w:rPr>
          <w:color w:val="333333" w:themeColor="background1"/>
        </w:rPr>
      </w:pPr>
      <w:bookmarkStart w:id="244" w:name="_Toc322961653"/>
      <w:r w:rsidRPr="00F041AD">
        <w:rPr>
          <w:color w:val="333333" w:themeColor="background1"/>
        </w:rPr>
        <w:t>Summary of opportunities</w:t>
      </w:r>
      <w:bookmarkEnd w:id="244"/>
    </w:p>
    <w:p w14:paraId="293FE0ED" w14:textId="1A030EDE" w:rsidR="00B65A50" w:rsidRPr="00F041AD" w:rsidRDefault="00B65A50" w:rsidP="00170671">
      <w:pPr>
        <w:pStyle w:val="5BodyText"/>
        <w:rPr>
          <w:color w:val="333333" w:themeColor="background1"/>
        </w:rPr>
      </w:pPr>
      <w:r w:rsidRPr="00F041AD">
        <w:rPr>
          <w:color w:val="333333" w:themeColor="background1"/>
        </w:rPr>
        <w:lastRenderedPageBreak/>
        <w:t>There are significant opportunities to further drive cost savings from energy efficiency, and encourage economic growth from continued development of energy businesses in Minnesota. This section highlights opportunities in the following two categories, each with two strategies:</w:t>
      </w:r>
    </w:p>
    <w:p w14:paraId="12A4AFDA" w14:textId="77777777" w:rsidR="00B65A50" w:rsidRPr="00F041AD" w:rsidRDefault="00B65A50" w:rsidP="00170671">
      <w:pPr>
        <w:pStyle w:val="5BodyText"/>
        <w:rPr>
          <w:color w:val="333333" w:themeColor="background1"/>
        </w:rPr>
      </w:pPr>
    </w:p>
    <w:p w14:paraId="49F91509" w14:textId="38AFAA06" w:rsidR="00B65A50" w:rsidRPr="00F041AD" w:rsidRDefault="00B65A50" w:rsidP="00A54734">
      <w:pPr>
        <w:pStyle w:val="5BodyText"/>
        <w:numPr>
          <w:ilvl w:val="0"/>
          <w:numId w:val="140"/>
        </w:numPr>
        <w:rPr>
          <w:color w:val="333333" w:themeColor="background1"/>
        </w:rPr>
      </w:pPr>
      <w:r w:rsidRPr="00F041AD">
        <w:rPr>
          <w:b/>
          <w:color w:val="333333" w:themeColor="background1"/>
        </w:rPr>
        <w:t>Promote bioenergy in the agricultural sector</w:t>
      </w:r>
      <w:r w:rsidRPr="00F041AD">
        <w:rPr>
          <w:color w:val="333333" w:themeColor="background1"/>
        </w:rPr>
        <w:br/>
        <w:t>The agricultural sector can build upon its important role in both Minnesota’s economy and its clean energy future by capturing the opportunity to produce bioenergy resources that can be used as low-carbon fuels in a variety of end uses. This category consists of the following strategies:</w:t>
      </w:r>
      <w:r w:rsidRPr="00F041AD">
        <w:rPr>
          <w:color w:val="333333" w:themeColor="background1"/>
        </w:rPr>
        <w:br/>
      </w:r>
    </w:p>
    <w:p w14:paraId="73A8DD52" w14:textId="5E872D42" w:rsidR="00B65A50" w:rsidRPr="00F041AD" w:rsidRDefault="00B65A50" w:rsidP="00A54734">
      <w:pPr>
        <w:pStyle w:val="5BodyText"/>
        <w:numPr>
          <w:ilvl w:val="1"/>
          <w:numId w:val="140"/>
        </w:numPr>
        <w:rPr>
          <w:color w:val="333333" w:themeColor="background1"/>
        </w:rPr>
      </w:pPr>
      <w:r w:rsidRPr="00F041AD">
        <w:rPr>
          <w:i/>
          <w:color w:val="333333" w:themeColor="background1"/>
        </w:rPr>
        <w:t>Commercialize advanced biofuels and biobased chemicals</w:t>
      </w:r>
      <w:r w:rsidRPr="00F041AD">
        <w:rPr>
          <w:color w:val="333333" w:themeColor="background1"/>
        </w:rPr>
        <w:br/>
        <w:t>Minnesota has a strong history in the biofuel industry and is poised for increased development of both advanced biofuels and biobased chemicals over the coming decade. Advanced biofuels, also known as second generation biofuels, are distinct from first generation biofuels, which are derived from sugars and vegetable oils in arable crops. In contrast, second generation biofuels are derived from woody crops, or agricultural residues, which lowers the lifecycle emissions profile of the delivered fuel.</w:t>
      </w:r>
      <w:r w:rsidRPr="00F041AD">
        <w:rPr>
          <w:rStyle w:val="EndnoteReference"/>
          <w:color w:val="333333" w:themeColor="background1"/>
        </w:rPr>
        <w:endnoteReference w:id="258"/>
      </w:r>
      <w:r w:rsidRPr="00F041AD">
        <w:rPr>
          <w:color w:val="333333" w:themeColor="background1"/>
        </w:rPr>
        <w:t xml:space="preserve"> Biobased chemicals are derived from forestry and agricultural </w:t>
      </w:r>
      <w:r w:rsidR="00E0047C" w:rsidRPr="00F041AD">
        <w:rPr>
          <w:color w:val="333333" w:themeColor="background1"/>
        </w:rPr>
        <w:t>materials</w:t>
      </w:r>
      <w:r w:rsidRPr="00F041AD">
        <w:rPr>
          <w:color w:val="333333" w:themeColor="background1"/>
        </w:rPr>
        <w:t xml:space="preserve">, offering alternatives to petroleum-based fuels and chemicals. The resources to produce biobased chemicals are abundant in Minnesota. Further, these products are increasingly becoming cost-competitive with conventional fossil fuels. </w:t>
      </w:r>
      <w:r w:rsidRPr="00F041AD">
        <w:rPr>
          <w:color w:val="333333" w:themeColor="background1"/>
        </w:rPr>
        <w:br/>
      </w:r>
    </w:p>
    <w:p w14:paraId="303F97F0" w14:textId="4326B40D" w:rsidR="00B65A50" w:rsidRPr="00F041AD" w:rsidRDefault="00B65A50" w:rsidP="00A54734">
      <w:pPr>
        <w:pStyle w:val="5BodyText"/>
        <w:numPr>
          <w:ilvl w:val="1"/>
          <w:numId w:val="140"/>
        </w:numPr>
        <w:rPr>
          <w:color w:val="333333" w:themeColor="background1"/>
        </w:rPr>
      </w:pPr>
      <w:r w:rsidRPr="00F041AD">
        <w:rPr>
          <w:i/>
          <w:color w:val="333333" w:themeColor="background1"/>
        </w:rPr>
        <w:t>Capture organic feedstocks through anaerobic digestion</w:t>
      </w:r>
      <w:r w:rsidRPr="00F041AD">
        <w:rPr>
          <w:color w:val="333333" w:themeColor="background1"/>
        </w:rPr>
        <w:br/>
        <w:t>Anaerobic digestion is a huge, untapped resource in Minnesota. To date, most anaerobic digestion projects in Minnesota have focused on electricity. However, there is a growing opportunity to use the biogas as an industrial process heating fuel or as a substitute for natural gas transportation fuel.</w:t>
      </w:r>
      <w:r w:rsidRPr="00F041AD">
        <w:rPr>
          <w:color w:val="333333" w:themeColor="background1"/>
        </w:rPr>
        <w:br/>
      </w:r>
    </w:p>
    <w:p w14:paraId="6B723C3B" w14:textId="3ED62805" w:rsidR="00B65A50" w:rsidRPr="00F041AD" w:rsidRDefault="00B65A50" w:rsidP="00A54734">
      <w:pPr>
        <w:pStyle w:val="5BodyText"/>
        <w:numPr>
          <w:ilvl w:val="0"/>
          <w:numId w:val="140"/>
        </w:numPr>
        <w:rPr>
          <w:color w:val="333333" w:themeColor="background1"/>
        </w:rPr>
      </w:pPr>
      <w:r w:rsidRPr="00F041AD">
        <w:rPr>
          <w:b/>
          <w:color w:val="333333" w:themeColor="background1"/>
        </w:rPr>
        <w:t>Reducing wasted energy and promoting clean energy focus in industry</w:t>
      </w:r>
      <w:r w:rsidRPr="00F041AD">
        <w:rPr>
          <w:color w:val="333333" w:themeColor="background1"/>
        </w:rPr>
        <w:br/>
        <w:t>The industrial sector in Minnesota can lower its costs and improve its competitiveness by pursuing energy efficiency, and directly contribute to growth and development in the state by focusing on contributing to the clean energy economy. This category consists of the following strategies:</w:t>
      </w:r>
      <w:r w:rsidRPr="00F041AD">
        <w:rPr>
          <w:color w:val="333333" w:themeColor="background1"/>
        </w:rPr>
        <w:br/>
      </w:r>
    </w:p>
    <w:p w14:paraId="55CDF446" w14:textId="64B3EA3F" w:rsidR="00B65A50" w:rsidRPr="00F041AD" w:rsidRDefault="00B65A50" w:rsidP="00A54734">
      <w:pPr>
        <w:pStyle w:val="5BodyText"/>
        <w:numPr>
          <w:ilvl w:val="1"/>
          <w:numId w:val="140"/>
        </w:numPr>
        <w:rPr>
          <w:color w:val="333333" w:themeColor="background1"/>
        </w:rPr>
      </w:pPr>
      <w:r w:rsidRPr="00F041AD">
        <w:rPr>
          <w:i/>
          <w:color w:val="333333" w:themeColor="background1"/>
        </w:rPr>
        <w:t xml:space="preserve">Promote industrial </w:t>
      </w:r>
      <w:r w:rsidR="0009215A">
        <w:rPr>
          <w:i/>
          <w:color w:val="333333" w:themeColor="background1"/>
        </w:rPr>
        <w:t xml:space="preserve">and agricultural </w:t>
      </w:r>
      <w:r w:rsidRPr="00F041AD">
        <w:rPr>
          <w:i/>
          <w:color w:val="333333" w:themeColor="background1"/>
        </w:rPr>
        <w:t>efficiency practices</w:t>
      </w:r>
      <w:r w:rsidRPr="00F041AD">
        <w:rPr>
          <w:i/>
          <w:color w:val="333333" w:themeColor="background1"/>
        </w:rPr>
        <w:br/>
      </w:r>
      <w:r w:rsidRPr="00F041AD">
        <w:rPr>
          <w:color w:val="333333" w:themeColor="background1"/>
        </w:rPr>
        <w:t xml:space="preserve">Minnesota has existing programs to promote energy efficiency practices for industrial </w:t>
      </w:r>
      <w:r w:rsidR="00206EC9">
        <w:rPr>
          <w:color w:val="333333" w:themeColor="background1"/>
        </w:rPr>
        <w:t xml:space="preserve">and agricultural </w:t>
      </w:r>
      <w:r w:rsidRPr="00F041AD">
        <w:rPr>
          <w:color w:val="333333" w:themeColor="background1"/>
        </w:rPr>
        <w:t xml:space="preserve">facilities, and practitioners have made great strides in improving efficiency at many sites in the state. However, there is an opportunity to take further advantage of </w:t>
      </w:r>
      <w:r w:rsidR="00206EC9">
        <w:rPr>
          <w:color w:val="333333" w:themeColor="background1"/>
        </w:rPr>
        <w:t xml:space="preserve">state </w:t>
      </w:r>
      <w:r w:rsidR="00206EC9">
        <w:rPr>
          <w:color w:val="333333" w:themeColor="background1"/>
        </w:rPr>
        <w:lastRenderedPageBreak/>
        <w:t xml:space="preserve">and </w:t>
      </w:r>
      <w:r w:rsidRPr="00F041AD">
        <w:rPr>
          <w:color w:val="333333" w:themeColor="background1"/>
        </w:rPr>
        <w:t>federally-driven programs and adopt best practices through peer exchange to further scale and expand efficiency resource</w:t>
      </w:r>
      <w:r w:rsidR="0009215A">
        <w:rPr>
          <w:color w:val="333333" w:themeColor="background1"/>
        </w:rPr>
        <w:t>s</w:t>
      </w:r>
      <w:r w:rsidRPr="00F041AD">
        <w:rPr>
          <w:color w:val="333333" w:themeColor="background1"/>
        </w:rPr>
        <w:t xml:space="preserve"> in this sector. </w:t>
      </w:r>
      <w:r w:rsidRPr="00F041AD">
        <w:rPr>
          <w:color w:val="333333" w:themeColor="background1"/>
        </w:rPr>
        <w:br/>
      </w:r>
    </w:p>
    <w:p w14:paraId="2B5AE107" w14:textId="168EB570" w:rsidR="00B65A50" w:rsidRPr="00F041AD" w:rsidRDefault="0009215A" w:rsidP="00A54734">
      <w:pPr>
        <w:pStyle w:val="5BodyText"/>
        <w:numPr>
          <w:ilvl w:val="1"/>
          <w:numId w:val="140"/>
        </w:numPr>
        <w:rPr>
          <w:color w:val="333333" w:themeColor="background1"/>
        </w:rPr>
      </w:pPr>
      <w:r w:rsidRPr="0009215A">
        <w:rPr>
          <w:i/>
          <w:color w:val="333333" w:themeColor="background1"/>
        </w:rPr>
        <w:t>Coordinate and promote the clean energy industry</w:t>
      </w:r>
      <w:r w:rsidR="00B65A50" w:rsidRPr="00F041AD">
        <w:rPr>
          <w:i/>
          <w:color w:val="333333" w:themeColor="background1"/>
        </w:rPr>
        <w:br/>
      </w:r>
      <w:r w:rsidR="00B65A50" w:rsidRPr="00F041AD">
        <w:rPr>
          <w:color w:val="333333" w:themeColor="background1"/>
        </w:rPr>
        <w:t xml:space="preserve">Minnesota has made significant progress in expanding the clean energy sector of its economy, with large growth in employment and clean energy investment </w:t>
      </w:r>
      <w:r w:rsidR="00206EC9">
        <w:rPr>
          <w:color w:val="333333" w:themeColor="background1"/>
        </w:rPr>
        <w:t>over many</w:t>
      </w:r>
      <w:r w:rsidR="00B65A50" w:rsidRPr="00F041AD">
        <w:rPr>
          <w:color w:val="333333" w:themeColor="background1"/>
        </w:rPr>
        <w:t xml:space="preserve"> years. There is an opportunity to build upon this success by bringing together clean energy industry stakeholders in a group to promote this sector’s growth and retain Minnesota’s leadership among states. </w:t>
      </w:r>
      <w:r w:rsidR="00206EC9" w:rsidRPr="00C01B55">
        <w:t xml:space="preserve">An industry-led organization focused on coordinating efforts and communication across all clean energy sectors could help coalesce competitive strengths in Minnesota’s clean energy and business community and </w:t>
      </w:r>
      <w:r w:rsidR="00206EC9" w:rsidRPr="001F63F9">
        <w:rPr>
          <w:iCs/>
        </w:rPr>
        <w:t>maximize economic development across the state</w:t>
      </w:r>
      <w:r w:rsidR="00B65A50" w:rsidRPr="00F041AD">
        <w:rPr>
          <w:color w:val="333333" w:themeColor="background1"/>
        </w:rPr>
        <w:t xml:space="preserve">.  </w:t>
      </w:r>
    </w:p>
    <w:p w14:paraId="3581D062" w14:textId="77777777" w:rsidR="00B65A50" w:rsidRPr="00F041AD" w:rsidRDefault="00B65A50" w:rsidP="00B37CBA">
      <w:pPr>
        <w:pStyle w:val="5BodyText"/>
        <w:rPr>
          <w:color w:val="333333" w:themeColor="background1"/>
        </w:rPr>
      </w:pPr>
    </w:p>
    <w:p w14:paraId="1ACBBF78" w14:textId="7327F2A1" w:rsidR="00B65A50" w:rsidRPr="00F041AD" w:rsidRDefault="0053594C" w:rsidP="008B39AC">
      <w:pPr>
        <w:pStyle w:val="StrategyName"/>
      </w:pPr>
      <w:bookmarkStart w:id="245" w:name="_Toc322961654"/>
      <w:bookmarkStart w:id="246" w:name="_Toc322962051"/>
      <w:bookmarkStart w:id="247" w:name="_Toc322962238"/>
      <w:r>
        <w:t>D1</w:t>
      </w:r>
      <w:r w:rsidR="00100FA0" w:rsidRPr="00F041AD">
        <w:t>.</w:t>
      </w:r>
      <w:r w:rsidR="00B65A50" w:rsidRPr="00F041AD">
        <w:t xml:space="preserve"> Commercialize advanced biofuels and biobased chemicals</w:t>
      </w:r>
      <w:bookmarkEnd w:id="245"/>
      <w:bookmarkEnd w:id="246"/>
      <w:bookmarkEnd w:id="247"/>
    </w:p>
    <w:p w14:paraId="157D245B" w14:textId="77777777" w:rsidR="00B65A50" w:rsidRPr="00F041AD" w:rsidRDefault="00B65A50" w:rsidP="00B37CBA">
      <w:pPr>
        <w:pStyle w:val="5BodyText"/>
        <w:rPr>
          <w:color w:val="333333" w:themeColor="background1"/>
        </w:rPr>
      </w:pPr>
    </w:p>
    <w:p w14:paraId="68592EC6" w14:textId="1FE9C2A4" w:rsidR="00B65A50" w:rsidRPr="00F041AD" w:rsidRDefault="00B65A50" w:rsidP="00B37CBA">
      <w:pPr>
        <w:pStyle w:val="5BodyText"/>
        <w:rPr>
          <w:b/>
          <w:i/>
          <w:color w:val="333333" w:themeColor="background1"/>
        </w:rPr>
      </w:pPr>
      <w:r w:rsidRPr="00F041AD">
        <w:rPr>
          <w:b/>
          <w:i/>
          <w:color w:val="333333" w:themeColor="background1"/>
        </w:rPr>
        <w:t>Strategy overview</w:t>
      </w:r>
    </w:p>
    <w:p w14:paraId="4D9B9B9E" w14:textId="77777777" w:rsidR="00B65A50" w:rsidRPr="00F041AD" w:rsidRDefault="00B65A50" w:rsidP="00A057F2">
      <w:pPr>
        <w:pStyle w:val="5BodyText"/>
        <w:rPr>
          <w:color w:val="333333" w:themeColor="background1"/>
          <w:sz w:val="22"/>
        </w:rPr>
      </w:pPr>
      <w:r w:rsidRPr="00F041AD">
        <w:rPr>
          <w:color w:val="333333" w:themeColor="background1"/>
        </w:rPr>
        <w:t xml:space="preserve">Minnesota has the opportunity to expand its already strong biobased industry by taking advantage of new value-added opportunities for agricultural and forestry sectors to produce advanced biofuels and biobased chemicals. </w:t>
      </w:r>
    </w:p>
    <w:p w14:paraId="281099D2" w14:textId="77777777" w:rsidR="00B65A50" w:rsidRPr="00F041AD" w:rsidRDefault="00B65A50" w:rsidP="00B37CBA">
      <w:pPr>
        <w:pStyle w:val="5BodyText"/>
        <w:rPr>
          <w:b/>
          <w:i/>
          <w:color w:val="333333" w:themeColor="background1"/>
        </w:rPr>
      </w:pPr>
    </w:p>
    <w:p w14:paraId="64101B4D" w14:textId="77777777" w:rsidR="00B65A50" w:rsidRPr="00F041AD" w:rsidRDefault="00B65A50" w:rsidP="007C2FA5">
      <w:pPr>
        <w:pStyle w:val="5BodyText"/>
        <w:rPr>
          <w:b/>
          <w:i/>
          <w:color w:val="333333" w:themeColor="background1"/>
        </w:rPr>
      </w:pPr>
      <w:r w:rsidRPr="00F041AD">
        <w:rPr>
          <w:b/>
          <w:i/>
          <w:color w:val="333333" w:themeColor="background1"/>
        </w:rPr>
        <w:t>Specific actions for strategy implementation</w:t>
      </w:r>
    </w:p>
    <w:p w14:paraId="7C96FB1F" w14:textId="75F776B9" w:rsidR="00B65A50" w:rsidRPr="00F041AD" w:rsidRDefault="00B65A50" w:rsidP="00A54734">
      <w:pPr>
        <w:pStyle w:val="5BodyText"/>
        <w:numPr>
          <w:ilvl w:val="0"/>
          <w:numId w:val="141"/>
        </w:numPr>
        <w:rPr>
          <w:rFonts w:asciiTheme="majorHAnsi" w:hAnsiTheme="majorHAnsi"/>
          <w:color w:val="333333" w:themeColor="background1"/>
          <w:szCs w:val="20"/>
        </w:rPr>
      </w:pPr>
      <w:r w:rsidRPr="00F041AD">
        <w:rPr>
          <w:rFonts w:asciiTheme="majorHAnsi" w:hAnsiTheme="majorHAnsi"/>
          <w:b/>
          <w:color w:val="333333" w:themeColor="background1"/>
          <w:szCs w:val="20"/>
        </w:rPr>
        <w:t>Conduct a supply/value chain mapping study for the variety of biobased chemicals and fuels that can be produced in Minnesota.</w:t>
      </w: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br/>
        <w:t xml:space="preserve">Although state and local assessments of biomass-based feedstock availability and cost have been done in the past, </w:t>
      </w:r>
      <w:r w:rsidR="008D3F5E" w:rsidRPr="00F041AD">
        <w:rPr>
          <w:rFonts w:asciiTheme="majorHAnsi" w:hAnsiTheme="majorHAnsi"/>
          <w:color w:val="333333" w:themeColor="background1"/>
          <w:szCs w:val="20"/>
        </w:rPr>
        <w:t>Minnesota</w:t>
      </w:r>
      <w:r w:rsidR="003D39E2">
        <w:rPr>
          <w:rFonts w:asciiTheme="majorHAnsi" w:hAnsiTheme="majorHAnsi"/>
          <w:color w:val="333333" w:themeColor="background1"/>
          <w:szCs w:val="20"/>
        </w:rPr>
        <w:t>’s biobased market</w:t>
      </w:r>
      <w:r w:rsidR="008D3F5E" w:rsidRPr="00F041AD">
        <w:rPr>
          <w:rFonts w:asciiTheme="majorHAnsi" w:hAnsiTheme="majorHAnsi"/>
          <w:color w:val="333333" w:themeColor="background1"/>
          <w:szCs w:val="20"/>
        </w:rPr>
        <w:t xml:space="preserve"> would benefit from a more current</w:t>
      </w:r>
      <w:r w:rsidRPr="00F041AD">
        <w:rPr>
          <w:rFonts w:asciiTheme="majorHAnsi" w:hAnsiTheme="majorHAnsi"/>
          <w:color w:val="333333" w:themeColor="background1"/>
          <w:szCs w:val="20"/>
        </w:rPr>
        <w:t>, comprehensive assessment of the feedstocks available for advanced biofuels and biobased chemicals in Minnesota</w:t>
      </w:r>
      <w:r w:rsidR="00DB3FF3" w:rsidRPr="00F041AD">
        <w:rPr>
          <w:rFonts w:asciiTheme="majorHAnsi" w:hAnsiTheme="majorHAnsi"/>
          <w:color w:val="333333" w:themeColor="background1"/>
          <w:szCs w:val="20"/>
        </w:rPr>
        <w:t>. Stakeholders also identified a need to match feedstocks with</w:t>
      </w:r>
      <w:r w:rsidR="00E0047C"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t>the associated, specific end products that could be produced from these resources. Mapping the current available feedstocks and associated end products will aid in assessing the economic potential for increased production of biobased fuels and chemicals in Minnesota. Additionally, this would let potential developers and investors recognize the scale of the opportunity and bring visibility to high-potential projects.</w:t>
      </w:r>
      <w:r w:rsidRPr="00F041AD">
        <w:rPr>
          <w:rFonts w:asciiTheme="majorHAnsi" w:hAnsiTheme="majorHAnsi"/>
          <w:b/>
          <w:color w:val="333333" w:themeColor="background1"/>
          <w:szCs w:val="20"/>
        </w:rPr>
        <w:br/>
      </w:r>
      <w:r w:rsidRPr="00F041AD">
        <w:rPr>
          <w:rFonts w:asciiTheme="majorHAnsi" w:hAnsiTheme="majorHAnsi"/>
          <w:b/>
          <w:color w:val="333333" w:themeColor="background1"/>
          <w:szCs w:val="20"/>
        </w:rPr>
        <w:br/>
        <w:t>Champion:</w:t>
      </w:r>
      <w:r w:rsidRPr="00F041AD">
        <w:rPr>
          <w:rFonts w:asciiTheme="majorHAnsi" w:hAnsiTheme="majorHAnsi"/>
          <w:color w:val="333333" w:themeColor="background1"/>
          <w:szCs w:val="20"/>
        </w:rPr>
        <w:t xml:space="preserve"> Bioeconomy Coalition of Minnesota, organized and staffed by the Great Plains Institute. </w:t>
      </w:r>
      <w:r w:rsidRPr="00F041AD">
        <w:rPr>
          <w:rFonts w:asciiTheme="majorHAnsi" w:hAnsiTheme="majorHAnsi"/>
          <w:color w:val="333333" w:themeColor="background1"/>
          <w:szCs w:val="20"/>
        </w:rPr>
        <w:br/>
      </w:r>
      <w:r w:rsidRPr="00F041AD">
        <w:rPr>
          <w:rFonts w:asciiTheme="majorHAnsi" w:hAnsiTheme="majorHAnsi"/>
          <w:b/>
          <w:color w:val="333333" w:themeColor="background1"/>
          <w:szCs w:val="20"/>
        </w:rPr>
        <w:t>Key Participants:</w:t>
      </w:r>
      <w:r w:rsidRPr="00F041AD">
        <w:rPr>
          <w:rFonts w:asciiTheme="majorHAnsi" w:hAnsiTheme="majorHAnsi"/>
          <w:color w:val="333333" w:themeColor="background1"/>
          <w:szCs w:val="20"/>
        </w:rPr>
        <w:t xml:space="preserve"> University of Minnesota, Department of Bioproducts and Biosystems Engineering, Natural Resources Research Institute, Agricultural Utilization Research Institute, Minn</w:t>
      </w:r>
      <w:r w:rsidR="00E0047C" w:rsidRPr="00F041AD">
        <w:rPr>
          <w:rFonts w:asciiTheme="majorHAnsi" w:hAnsiTheme="majorHAnsi"/>
          <w:color w:val="333333" w:themeColor="background1"/>
          <w:szCs w:val="20"/>
        </w:rPr>
        <w:t>esota Department of Agriculture, Minnesota Department of Natural Resources, Iron Range Resources &amp; Rehabilitation Board.</w:t>
      </w:r>
      <w:r w:rsidRPr="00F041AD">
        <w:rPr>
          <w:rFonts w:asciiTheme="majorHAnsi" w:hAnsiTheme="majorHAnsi"/>
          <w:color w:val="333333" w:themeColor="background1"/>
          <w:szCs w:val="20"/>
        </w:rPr>
        <w:t xml:space="preserve"> </w:t>
      </w:r>
    </w:p>
    <w:p w14:paraId="472CC913" w14:textId="77777777" w:rsidR="00B65A50" w:rsidRPr="00F041AD" w:rsidRDefault="00B65A50" w:rsidP="00A057F2">
      <w:pPr>
        <w:pStyle w:val="5BodyText"/>
        <w:rPr>
          <w:rFonts w:asciiTheme="majorHAnsi" w:hAnsiTheme="majorHAnsi"/>
          <w:color w:val="333333" w:themeColor="background1"/>
          <w:szCs w:val="20"/>
        </w:rPr>
      </w:pPr>
    </w:p>
    <w:p w14:paraId="54641830" w14:textId="0AB5DC42" w:rsidR="00B65A50" w:rsidRPr="00F041AD" w:rsidRDefault="00B65A50" w:rsidP="00A54734">
      <w:pPr>
        <w:pStyle w:val="5BodyText"/>
        <w:numPr>
          <w:ilvl w:val="0"/>
          <w:numId w:val="141"/>
        </w:numPr>
        <w:rPr>
          <w:rFonts w:asciiTheme="majorHAnsi" w:hAnsiTheme="majorHAnsi"/>
          <w:color w:val="333333" w:themeColor="background1"/>
          <w:szCs w:val="20"/>
        </w:rPr>
      </w:pPr>
      <w:r w:rsidRPr="00F041AD">
        <w:rPr>
          <w:rFonts w:asciiTheme="majorHAnsi" w:hAnsiTheme="majorHAnsi"/>
          <w:b/>
          <w:color w:val="333333" w:themeColor="background1"/>
          <w:szCs w:val="20"/>
        </w:rPr>
        <w:t>Address forestry feedstock supply and infrastructure</w:t>
      </w:r>
      <w:r w:rsidRPr="00F041AD">
        <w:rPr>
          <w:rFonts w:asciiTheme="majorHAnsi" w:hAnsiTheme="majorHAnsi"/>
          <w:b/>
          <w:color w:val="333333" w:themeColor="background1"/>
          <w:szCs w:val="20"/>
        </w:rPr>
        <w:br/>
      </w:r>
      <w:r w:rsidRPr="00F041AD">
        <w:rPr>
          <w:rFonts w:asciiTheme="majorHAnsi" w:hAnsiTheme="majorHAnsi"/>
          <w:color w:val="333333" w:themeColor="background1"/>
          <w:szCs w:val="20"/>
        </w:rPr>
        <w:t>There are significant feedstocks available from forests in Minnesota to produce advanced biofuels and biobased chemicals. However, limited markets and costs of further developing those markets present a barrier to their economic competiveness. New practices may be necessary to streamline the process of bringing the regulated, privately owned forest fiber to market.  For example, increasing access to forestry feedstocks may require efforts to better utilize the Sustainable Forest Incentive Act (SFIA), which incents private forest landowners to maintain their forest lands as contiguous, undeveloped working forest lands. A principal barrier to nonindustrial private forest (NIPF) land harvest has been demand (and price) being too low to attract material to market, and limited investment by public and private sector in working with private landowners.</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t>Enhancing access to forestry feedstocks will also require efforts to support the Private Forest Management (PFM) System Framework that unites the Department of Natural Resources (DNR), Soil and Water Conservation Districts (SWCDs), private forest consultants, Board of Soil and Water Resources (BWSR), counties and other private forest stakeholders in achieving Minnesota’s PFM goals, in distributing responsibilities, and in addressing private forest data collection and registration needs. Success of the PFM System Framework will require baseline budgeting to fulfill data input needs necessary to predict the availability and location of forest fiber on private lands.</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t>Finally, addressing forest feedstock supply logistics will also require working to maintain and potentially enhance MN’s logging base; supporting the Minnesota Logger Education Program (MLEP) in efforts educate and train loggers on sustainable biomass harvesting as a means to expedite their participation in the development of increasingly diverse forest product markets.</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r>
      <w:r w:rsidRPr="00F041AD">
        <w:rPr>
          <w:rFonts w:asciiTheme="majorHAnsi" w:hAnsiTheme="majorHAnsi"/>
          <w:b/>
          <w:color w:val="333333" w:themeColor="background1"/>
          <w:szCs w:val="20"/>
        </w:rPr>
        <w:t>Champion</w:t>
      </w:r>
      <w:r w:rsidRPr="00F041AD">
        <w:rPr>
          <w:rFonts w:asciiTheme="majorHAnsi" w:hAnsiTheme="majorHAnsi"/>
          <w:color w:val="333333" w:themeColor="background1"/>
          <w:szCs w:val="20"/>
        </w:rPr>
        <w:t>: DNR Forestry, which is leading the new Private Forest Management Strategy (a collaboration of MN counties, DNR, BWSR, SWCD, private consultants) to maintain momentum and achieve goals outlined here.</w:t>
      </w:r>
    </w:p>
    <w:p w14:paraId="1F00C214" w14:textId="77777777" w:rsidR="00B65A50" w:rsidRPr="00F041AD" w:rsidRDefault="00B65A50" w:rsidP="00A057F2">
      <w:pPr>
        <w:pStyle w:val="5BodyText"/>
        <w:rPr>
          <w:rFonts w:asciiTheme="majorHAnsi" w:hAnsiTheme="majorHAnsi"/>
          <w:color w:val="333333" w:themeColor="background1"/>
          <w:szCs w:val="20"/>
        </w:rPr>
      </w:pPr>
    </w:p>
    <w:p w14:paraId="08DAB6B5" w14:textId="31928F05" w:rsidR="00B65A50" w:rsidRPr="00F041AD" w:rsidRDefault="00B65A50" w:rsidP="00A54734">
      <w:pPr>
        <w:pStyle w:val="5BodyText"/>
        <w:numPr>
          <w:ilvl w:val="0"/>
          <w:numId w:val="141"/>
        </w:numPr>
        <w:rPr>
          <w:rFonts w:asciiTheme="majorHAnsi" w:eastAsia="Arial" w:hAnsiTheme="majorHAnsi" w:cs="Arial"/>
          <w:color w:val="333333" w:themeColor="background1"/>
          <w:szCs w:val="20"/>
        </w:rPr>
      </w:pPr>
      <w:r w:rsidRPr="00F041AD">
        <w:rPr>
          <w:rFonts w:asciiTheme="majorHAnsi" w:hAnsiTheme="majorHAnsi"/>
          <w:b/>
          <w:color w:val="333333" w:themeColor="background1"/>
          <w:szCs w:val="20"/>
        </w:rPr>
        <w:t>Address agricultural feedstock supply and infrastructure</w:t>
      </w:r>
      <w:r w:rsidRPr="00F041AD">
        <w:rPr>
          <w:rFonts w:asciiTheme="majorHAnsi" w:hAnsiTheme="majorHAnsi"/>
          <w:color w:val="333333" w:themeColor="background1"/>
          <w:szCs w:val="20"/>
        </w:rPr>
        <w:br/>
        <w:t>Similar to the concerns over forestry feedstocks, additional work is necessary to address feedstock concerns, supply, and infrastructure for agricultural biomass. Unlike the steps needed to address forestry feedstock supply, the actions to address agricultural feedstock supply are less clear at this time, and doing so will require a process that brings relevant stakeholders together to address key</w:t>
      </w:r>
      <w:r w:rsidR="00E0047C" w:rsidRPr="00F041AD">
        <w:rPr>
          <w:rFonts w:asciiTheme="majorHAnsi" w:hAnsiTheme="majorHAnsi"/>
          <w:color w:val="333333" w:themeColor="background1"/>
          <w:szCs w:val="20"/>
        </w:rPr>
        <w:t xml:space="preserve"> barriers and</w:t>
      </w:r>
      <w:r w:rsidRPr="00F041AD">
        <w:rPr>
          <w:rFonts w:asciiTheme="majorHAnsi" w:hAnsiTheme="majorHAnsi"/>
          <w:color w:val="333333" w:themeColor="background1"/>
          <w:szCs w:val="20"/>
        </w:rPr>
        <w:t xml:space="preserve"> concerns on biomass sourcing.</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lastRenderedPageBreak/>
        <w:t>A stakeholder engagement process could examine current research on energy and environmental impacts for removing a portion of agricultural residues from existing cropping systems, discuss strategies for increasing cover cropping and perennial vegetation as a potential source of biomass, develop near-term and long-term strategies for biomass aggregation and supply chain constraints</w:t>
      </w:r>
      <w:r w:rsidR="00E0047C" w:rsidRPr="00F041AD">
        <w:rPr>
          <w:rFonts w:asciiTheme="majorHAnsi" w:hAnsiTheme="majorHAnsi"/>
          <w:color w:val="333333" w:themeColor="background1"/>
          <w:szCs w:val="20"/>
        </w:rPr>
        <w:t>, and identify federal and state sources of funding that could be leveraged to help support biomass establishment and aggregation. This process should conclude with clear opportunities identified and recommended actions to harness these resources.</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r>
      <w:r w:rsidRPr="00F041AD">
        <w:rPr>
          <w:rFonts w:asciiTheme="majorHAnsi" w:hAnsiTheme="majorHAnsi"/>
          <w:b/>
          <w:color w:val="333333" w:themeColor="background1"/>
          <w:szCs w:val="20"/>
        </w:rPr>
        <w:t>Champion:</w:t>
      </w:r>
      <w:r w:rsidRPr="00F041AD">
        <w:rPr>
          <w:rFonts w:asciiTheme="majorHAnsi" w:hAnsiTheme="majorHAnsi"/>
          <w:color w:val="333333" w:themeColor="background1"/>
          <w:szCs w:val="20"/>
        </w:rPr>
        <w:t xml:space="preserve"> Bioeconomy Coalition of Minnesota, organized and staffed by the Great Plains Institute.</w:t>
      </w:r>
      <w:r w:rsidRPr="00F041AD">
        <w:rPr>
          <w:rFonts w:asciiTheme="majorHAnsi" w:hAnsiTheme="majorHAnsi"/>
          <w:color w:val="333333" w:themeColor="background1"/>
          <w:szCs w:val="20"/>
        </w:rPr>
        <w:br/>
      </w:r>
      <w:r w:rsidRPr="00F041AD">
        <w:rPr>
          <w:rFonts w:asciiTheme="majorHAnsi" w:hAnsiTheme="majorHAnsi"/>
          <w:b/>
          <w:color w:val="333333" w:themeColor="background1"/>
          <w:szCs w:val="20"/>
        </w:rPr>
        <w:t>Key Participants:</w:t>
      </w: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br/>
      </w:r>
      <w:r w:rsidR="00E0047C" w:rsidRPr="00F041AD">
        <w:rPr>
          <w:rFonts w:asciiTheme="majorHAnsi" w:hAnsiTheme="majorHAnsi"/>
          <w:color w:val="333333" w:themeColor="background1"/>
          <w:szCs w:val="20"/>
        </w:rPr>
        <w:t xml:space="preserve">- MN Department of Agriculture manages incentive programs for advanced biofuel and biobased chemical production, in addition to several other complementary programs and initiatives. </w:t>
      </w:r>
      <w:r w:rsidR="00E0047C" w:rsidRPr="00F041AD">
        <w:rPr>
          <w:rFonts w:asciiTheme="majorHAnsi" w:hAnsiTheme="majorHAnsi"/>
          <w:color w:val="333333" w:themeColor="background1"/>
          <w:szCs w:val="20"/>
        </w:rPr>
        <w:br/>
        <w:t xml:space="preserve">- Board </w:t>
      </w:r>
      <w:r w:rsidR="00C32BE8">
        <w:rPr>
          <w:rFonts w:asciiTheme="majorHAnsi" w:hAnsiTheme="majorHAnsi"/>
          <w:color w:val="333333" w:themeColor="background1"/>
          <w:szCs w:val="20"/>
        </w:rPr>
        <w:t>of</w:t>
      </w:r>
      <w:r w:rsidR="00C32BE8" w:rsidRPr="00F041AD">
        <w:rPr>
          <w:rFonts w:asciiTheme="majorHAnsi" w:hAnsiTheme="majorHAnsi"/>
          <w:color w:val="333333" w:themeColor="background1"/>
          <w:szCs w:val="20"/>
        </w:rPr>
        <w:t xml:space="preserve"> </w:t>
      </w:r>
      <w:r w:rsidR="00E0047C" w:rsidRPr="00F041AD">
        <w:rPr>
          <w:rFonts w:asciiTheme="majorHAnsi" w:hAnsiTheme="majorHAnsi"/>
          <w:color w:val="333333" w:themeColor="background1"/>
          <w:szCs w:val="20"/>
        </w:rPr>
        <w:t>Soil and Water Resources (BSWR) administer</w:t>
      </w:r>
      <w:r w:rsidR="00CE3992" w:rsidRPr="00F041AD">
        <w:rPr>
          <w:rFonts w:asciiTheme="majorHAnsi" w:hAnsiTheme="majorHAnsi"/>
          <w:color w:val="333333" w:themeColor="background1"/>
          <w:szCs w:val="20"/>
        </w:rPr>
        <w:t>s</w:t>
      </w:r>
      <w:r w:rsidR="00E0047C" w:rsidRPr="00F041AD">
        <w:rPr>
          <w:rFonts w:asciiTheme="majorHAnsi" w:hAnsiTheme="majorHAnsi"/>
          <w:color w:val="333333" w:themeColor="background1"/>
          <w:szCs w:val="20"/>
        </w:rPr>
        <w:t xml:space="preserve"> several conservation and land-owner management programs.</w:t>
      </w:r>
    </w:p>
    <w:p w14:paraId="19B981CE" w14:textId="77777777" w:rsidR="00B65A50" w:rsidRPr="00F041AD" w:rsidRDefault="00B65A50" w:rsidP="00A057F2">
      <w:pPr>
        <w:pStyle w:val="5BodyText"/>
        <w:rPr>
          <w:rFonts w:asciiTheme="majorHAnsi" w:hAnsiTheme="majorHAnsi"/>
          <w:color w:val="333333" w:themeColor="background1"/>
          <w:szCs w:val="20"/>
        </w:rPr>
      </w:pPr>
    </w:p>
    <w:p w14:paraId="7CB57407" w14:textId="77777777" w:rsidR="00B65A50" w:rsidRPr="00F041AD" w:rsidRDefault="00B65A50" w:rsidP="00A54734">
      <w:pPr>
        <w:pStyle w:val="5BodyText"/>
        <w:numPr>
          <w:ilvl w:val="0"/>
          <w:numId w:val="141"/>
        </w:numPr>
        <w:rPr>
          <w:rFonts w:asciiTheme="majorHAnsi" w:hAnsiTheme="majorHAnsi"/>
          <w:color w:val="333333" w:themeColor="background1"/>
          <w:szCs w:val="20"/>
        </w:rPr>
      </w:pPr>
      <w:r w:rsidRPr="00F041AD">
        <w:rPr>
          <w:rFonts w:asciiTheme="majorHAnsi" w:hAnsiTheme="majorHAnsi"/>
          <w:b/>
          <w:color w:val="333333" w:themeColor="background1"/>
          <w:szCs w:val="20"/>
        </w:rPr>
        <w:t>Secure funding for and complete a renewable jet fuel/renewable diesel supply chain feasibility study</w:t>
      </w: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br/>
        <w:t xml:space="preserve">Renewable jet fuel and diesel may be an economically attractive market for Minnesota companies to enter. To evaluate the potential to produce biobased, renewable jet fuel in Minnesota, developers must identify the available feedstocks, infrastructure, customers, suppliers, and site selection factors in the state and assess strategies for putting in place the necessary elements of success. </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r>
      <w:r w:rsidRPr="00F041AD">
        <w:rPr>
          <w:rFonts w:asciiTheme="majorHAnsi" w:hAnsiTheme="majorHAnsi"/>
          <w:b/>
          <w:color w:val="333333" w:themeColor="background1"/>
          <w:szCs w:val="20"/>
        </w:rPr>
        <w:t xml:space="preserve">Champions: </w:t>
      </w:r>
      <w:proofErr w:type="spellStart"/>
      <w:r w:rsidRPr="00F041AD">
        <w:rPr>
          <w:rFonts w:asciiTheme="majorHAnsi" w:hAnsiTheme="majorHAnsi"/>
          <w:color w:val="333333" w:themeColor="background1"/>
          <w:szCs w:val="20"/>
        </w:rPr>
        <w:t>Wenck</w:t>
      </w:r>
      <w:proofErr w:type="spellEnd"/>
      <w:r w:rsidRPr="00F041AD">
        <w:rPr>
          <w:rFonts w:asciiTheme="majorHAnsi" w:hAnsiTheme="majorHAnsi"/>
          <w:color w:val="333333" w:themeColor="background1"/>
          <w:szCs w:val="20"/>
        </w:rPr>
        <w:t xml:space="preserve"> Associates and Commercial Aviation Alternative Fuels Initiative (CAAFI)</w:t>
      </w:r>
      <w:r w:rsidRPr="00F041AD">
        <w:rPr>
          <w:rFonts w:asciiTheme="majorHAnsi" w:hAnsiTheme="majorHAnsi"/>
          <w:color w:val="333333" w:themeColor="background1"/>
          <w:szCs w:val="20"/>
        </w:rPr>
        <w:br/>
      </w:r>
    </w:p>
    <w:p w14:paraId="58313996" w14:textId="02760C3A" w:rsidR="00B65A50" w:rsidRPr="00F041AD" w:rsidRDefault="00B65A50" w:rsidP="00A54734">
      <w:pPr>
        <w:pStyle w:val="5BodyText"/>
        <w:numPr>
          <w:ilvl w:val="0"/>
          <w:numId w:val="141"/>
        </w:numPr>
        <w:rPr>
          <w:rFonts w:asciiTheme="majorHAnsi" w:hAnsiTheme="majorHAnsi"/>
          <w:color w:val="333333" w:themeColor="background1"/>
          <w:szCs w:val="20"/>
        </w:rPr>
      </w:pPr>
      <w:r w:rsidRPr="00F041AD">
        <w:rPr>
          <w:rFonts w:asciiTheme="majorHAnsi" w:hAnsiTheme="majorHAnsi"/>
          <w:b/>
          <w:color w:val="333333" w:themeColor="background1"/>
          <w:szCs w:val="20"/>
        </w:rPr>
        <w:t>Identify and address project permitting barriers.</w:t>
      </w:r>
      <w:r w:rsidRPr="00F041AD">
        <w:rPr>
          <w:rFonts w:asciiTheme="majorHAnsi" w:hAnsiTheme="majorHAnsi"/>
          <w:color w:val="333333" w:themeColor="background1"/>
          <w:szCs w:val="20"/>
        </w:rPr>
        <w:br/>
        <w:t xml:space="preserve">Project permitting for biobased fuel and chemical production facilities can be a barrier to initiating production. Project developers can work together with state assistance programs to streamline these processes and ensure that </w:t>
      </w:r>
      <w:r w:rsidR="00CE3992" w:rsidRPr="00F041AD">
        <w:rPr>
          <w:rFonts w:asciiTheme="majorHAnsi" w:hAnsiTheme="majorHAnsi"/>
          <w:color w:val="333333" w:themeColor="background1"/>
          <w:szCs w:val="20"/>
        </w:rPr>
        <w:t>project permitting can occur in an efficient manner.</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r>
      <w:r w:rsidRPr="00F041AD">
        <w:rPr>
          <w:rFonts w:asciiTheme="majorHAnsi" w:hAnsiTheme="majorHAnsi"/>
          <w:b/>
          <w:color w:val="333333" w:themeColor="background1"/>
          <w:szCs w:val="20"/>
        </w:rPr>
        <w:t>Champion</w:t>
      </w:r>
      <w:r w:rsidRPr="00F041AD">
        <w:rPr>
          <w:rFonts w:asciiTheme="majorHAnsi" w:hAnsiTheme="majorHAnsi"/>
          <w:color w:val="333333" w:themeColor="background1"/>
          <w:szCs w:val="20"/>
        </w:rPr>
        <w:t xml:space="preserve">: </w:t>
      </w:r>
      <w:hyperlink r:id="rId193" w:history="1">
        <w:r w:rsidRPr="00F041AD">
          <w:rPr>
            <w:rStyle w:val="Hyperlink"/>
            <w:rFonts w:asciiTheme="majorHAnsi" w:hAnsiTheme="majorHAnsi"/>
            <w:color w:val="333333" w:themeColor="background1"/>
            <w:szCs w:val="20"/>
          </w:rPr>
          <w:t>Minnesota Business First Stop</w:t>
        </w:r>
      </w:hyperlink>
      <w:r w:rsidR="00CE3992" w:rsidRPr="00F041AD">
        <w:rPr>
          <w:rStyle w:val="EndnoteReference"/>
          <w:rFonts w:asciiTheme="majorHAnsi" w:hAnsiTheme="majorHAnsi"/>
          <w:color w:val="333333" w:themeColor="background1"/>
          <w:szCs w:val="20"/>
        </w:rPr>
        <w:endnoteReference w:id="259"/>
      </w:r>
      <w:r w:rsidR="00CE3992" w:rsidRPr="00F041AD">
        <w:rPr>
          <w:rFonts w:asciiTheme="majorHAnsi" w:hAnsiTheme="majorHAnsi"/>
          <w:color w:val="333333" w:themeColor="background1"/>
          <w:szCs w:val="20"/>
        </w:rPr>
        <w:t xml:space="preserve"> streamlines the development process for complex business startups, expansions or relocations that involve finance, licensing, permitting, and regulatory issues that overlap multiple state agencies.</w:t>
      </w:r>
    </w:p>
    <w:p w14:paraId="47CC712B" w14:textId="77777777" w:rsidR="00B65A50" w:rsidRPr="00F041AD" w:rsidRDefault="00B65A50" w:rsidP="007C2FA5">
      <w:pPr>
        <w:pStyle w:val="5BodyText"/>
        <w:rPr>
          <w:b/>
          <w:i/>
          <w:color w:val="333333" w:themeColor="background1"/>
        </w:rPr>
      </w:pPr>
    </w:p>
    <w:p w14:paraId="2D2B51C5" w14:textId="77777777" w:rsidR="00B65A50" w:rsidRPr="00F041AD" w:rsidRDefault="00B65A50" w:rsidP="007C2FA5">
      <w:pPr>
        <w:pStyle w:val="5BodyText"/>
        <w:rPr>
          <w:b/>
          <w:i/>
          <w:color w:val="333333" w:themeColor="background1"/>
        </w:rPr>
      </w:pPr>
      <w:r w:rsidRPr="00F041AD">
        <w:rPr>
          <w:b/>
          <w:i/>
          <w:color w:val="333333" w:themeColor="background1"/>
        </w:rPr>
        <w:t>Success factors</w:t>
      </w:r>
    </w:p>
    <w:p w14:paraId="737E6D41" w14:textId="7B7269C5" w:rsidR="00B65A50" w:rsidRPr="00F041AD" w:rsidRDefault="00B65A50" w:rsidP="00A54734">
      <w:pPr>
        <w:pStyle w:val="5BodyText"/>
        <w:numPr>
          <w:ilvl w:val="0"/>
          <w:numId w:val="142"/>
        </w:numPr>
        <w:rPr>
          <w:rFonts w:asciiTheme="majorHAnsi" w:hAnsiTheme="majorHAnsi"/>
          <w:color w:val="333333" w:themeColor="background1"/>
          <w:szCs w:val="20"/>
        </w:rPr>
      </w:pPr>
      <w:r w:rsidRPr="00F041AD">
        <w:rPr>
          <w:rFonts w:asciiTheme="majorHAnsi" w:hAnsiTheme="majorHAnsi"/>
          <w:b/>
          <w:color w:val="333333" w:themeColor="background1"/>
          <w:szCs w:val="20"/>
        </w:rPr>
        <w:t>Biofuel distribution infrastructure (e.g. refueling) is available</w:t>
      </w:r>
      <w:r w:rsidRPr="00F041AD">
        <w:rPr>
          <w:rFonts w:asciiTheme="majorHAnsi" w:hAnsiTheme="majorHAnsi"/>
          <w:color w:val="333333" w:themeColor="background1"/>
          <w:szCs w:val="20"/>
        </w:rPr>
        <w:t xml:space="preserve">. Distribution infrastructure is necessary to meet consumer demand and allow consumption of a greater percentage of fuel </w:t>
      </w:r>
      <w:r w:rsidRPr="00F041AD">
        <w:rPr>
          <w:rFonts w:asciiTheme="majorHAnsi" w:hAnsiTheme="majorHAnsi"/>
          <w:color w:val="333333" w:themeColor="background1"/>
          <w:szCs w:val="20"/>
        </w:rPr>
        <w:lastRenderedPageBreak/>
        <w:t>produced in-state.</w:t>
      </w:r>
      <w:r w:rsidRPr="00F041AD">
        <w:rPr>
          <w:rFonts w:asciiTheme="majorHAnsi" w:hAnsiTheme="majorHAnsi"/>
          <w:color w:val="333333" w:themeColor="background1"/>
          <w:szCs w:val="20"/>
        </w:rPr>
        <w:br/>
      </w:r>
    </w:p>
    <w:p w14:paraId="54325252" w14:textId="02C5AF90" w:rsidR="00B65A50" w:rsidRPr="00F041AD" w:rsidRDefault="00B65A50" w:rsidP="00A54734">
      <w:pPr>
        <w:pStyle w:val="5BodyText"/>
        <w:numPr>
          <w:ilvl w:val="0"/>
          <w:numId w:val="142"/>
        </w:numPr>
        <w:rPr>
          <w:rFonts w:asciiTheme="majorHAnsi" w:hAnsiTheme="majorHAnsi"/>
          <w:color w:val="333333" w:themeColor="background1"/>
          <w:szCs w:val="20"/>
        </w:rPr>
      </w:pPr>
      <w:r w:rsidRPr="00F041AD">
        <w:rPr>
          <w:rFonts w:asciiTheme="majorHAnsi" w:hAnsiTheme="majorHAnsi"/>
          <w:b/>
          <w:color w:val="333333" w:themeColor="background1"/>
          <w:szCs w:val="20"/>
        </w:rPr>
        <w:t xml:space="preserve">Distribution barriers arising from geographically dispersed feedstocks and fuel production facilities are overcome. </w:t>
      </w:r>
      <w:r w:rsidRPr="00F041AD">
        <w:rPr>
          <w:rFonts w:asciiTheme="majorHAnsi" w:hAnsiTheme="majorHAnsi"/>
          <w:color w:val="333333" w:themeColor="background1"/>
          <w:szCs w:val="20"/>
        </w:rPr>
        <w:t>The physical separation of feedstocks and production facilities can introduce cost barriers to biofuel or biochemical production, which may need to be mitigated to make an economic case for biofuels.</w:t>
      </w:r>
      <w:r w:rsidRPr="00F041AD">
        <w:rPr>
          <w:rFonts w:asciiTheme="majorHAnsi" w:hAnsiTheme="majorHAnsi"/>
          <w:color w:val="333333" w:themeColor="background1"/>
          <w:szCs w:val="20"/>
        </w:rPr>
        <w:br/>
      </w:r>
    </w:p>
    <w:p w14:paraId="71ECAC09" w14:textId="2E02E9E2" w:rsidR="00B65A50" w:rsidRPr="00F041AD" w:rsidRDefault="00B65A50" w:rsidP="00A54734">
      <w:pPr>
        <w:pStyle w:val="5BodyText"/>
        <w:numPr>
          <w:ilvl w:val="0"/>
          <w:numId w:val="142"/>
        </w:numPr>
        <w:rPr>
          <w:rFonts w:asciiTheme="majorHAnsi" w:hAnsiTheme="majorHAnsi"/>
          <w:b/>
          <w:i/>
          <w:color w:val="333333" w:themeColor="background1"/>
          <w:szCs w:val="20"/>
        </w:rPr>
      </w:pPr>
      <w:r w:rsidRPr="00F041AD">
        <w:rPr>
          <w:rFonts w:asciiTheme="majorHAnsi" w:hAnsiTheme="majorHAnsi"/>
          <w:b/>
          <w:color w:val="333333" w:themeColor="background1"/>
          <w:szCs w:val="20"/>
        </w:rPr>
        <w:t>Market access for advanced biofuels and biobased chemicals are supported by state policies</w:t>
      </w:r>
      <w:r w:rsidRPr="00F041AD">
        <w:rPr>
          <w:rFonts w:asciiTheme="majorHAnsi" w:hAnsiTheme="majorHAnsi"/>
          <w:color w:val="333333" w:themeColor="background1"/>
          <w:szCs w:val="20"/>
        </w:rPr>
        <w:t>. It is likely necessary for policies to support both “market push,” including production facility investment, and “demand pull,” for example a state-level preferred procurement policy for biobased products.</w:t>
      </w:r>
      <w:r w:rsidR="00087ED1" w:rsidRPr="00F041AD">
        <w:rPr>
          <w:rFonts w:asciiTheme="majorHAnsi" w:hAnsiTheme="majorHAnsi"/>
          <w:color w:val="333333" w:themeColor="background1"/>
          <w:szCs w:val="20"/>
        </w:rPr>
        <w:br/>
      </w:r>
    </w:p>
    <w:p w14:paraId="75F408CF" w14:textId="6EEC0F07" w:rsidR="00087ED1" w:rsidRPr="00F041AD" w:rsidRDefault="00087ED1" w:rsidP="00A54734">
      <w:pPr>
        <w:pStyle w:val="5BodyText"/>
        <w:numPr>
          <w:ilvl w:val="0"/>
          <w:numId w:val="142"/>
        </w:numPr>
        <w:rPr>
          <w:rFonts w:asciiTheme="majorHAnsi" w:hAnsiTheme="majorHAnsi"/>
          <w:b/>
          <w:i/>
          <w:color w:val="333333" w:themeColor="background1"/>
          <w:szCs w:val="20"/>
        </w:rPr>
      </w:pPr>
      <w:r w:rsidRPr="00F041AD">
        <w:rPr>
          <w:rFonts w:asciiTheme="majorHAnsi" w:hAnsiTheme="majorHAnsi"/>
          <w:b/>
          <w:color w:val="333333" w:themeColor="background1"/>
          <w:szCs w:val="20"/>
        </w:rPr>
        <w:t xml:space="preserve">Companies have funding opportunities and access to capital needed to commercialize new processes or to site large facilities. </w:t>
      </w:r>
      <w:r w:rsidRPr="00F041AD">
        <w:rPr>
          <w:rFonts w:asciiTheme="majorHAnsi" w:hAnsiTheme="majorHAnsi"/>
          <w:color w:val="333333" w:themeColor="background1"/>
          <w:szCs w:val="20"/>
        </w:rPr>
        <w:t xml:space="preserve">This was identified in </w:t>
      </w:r>
      <w:r w:rsidRPr="00F041AD">
        <w:rPr>
          <w:color w:val="333333" w:themeColor="background1"/>
        </w:rPr>
        <w:t>the Minnesota Clean Energy Industry Roundtables and Summit in 2014, convened by multiple state agencies to identify highest priorities for continued growth and development of the clean energy economy.</w:t>
      </w:r>
    </w:p>
    <w:p w14:paraId="2E079225" w14:textId="77777777" w:rsidR="00B65A50" w:rsidRPr="00F041AD" w:rsidRDefault="00B65A50" w:rsidP="007C2FA5">
      <w:pPr>
        <w:pStyle w:val="5BodyText"/>
        <w:rPr>
          <w:b/>
          <w:i/>
          <w:color w:val="333333" w:themeColor="background1"/>
        </w:rPr>
      </w:pPr>
    </w:p>
    <w:p w14:paraId="1F90BB53" w14:textId="77777777" w:rsidR="00B65A50" w:rsidRPr="00F041AD" w:rsidRDefault="00B65A50" w:rsidP="007C2FA5">
      <w:pPr>
        <w:pStyle w:val="5BodyText"/>
        <w:rPr>
          <w:b/>
          <w:i/>
          <w:color w:val="333333" w:themeColor="background1"/>
        </w:rPr>
      </w:pPr>
      <w:r w:rsidRPr="00F041AD">
        <w:rPr>
          <w:b/>
          <w:i/>
          <w:color w:val="333333" w:themeColor="background1"/>
        </w:rPr>
        <w:t>Indicators of strategy success</w:t>
      </w:r>
    </w:p>
    <w:p w14:paraId="33449F22" w14:textId="77777777" w:rsidR="00B65A50" w:rsidRPr="00F041AD" w:rsidRDefault="00B65A50" w:rsidP="00934BF8">
      <w:pPr>
        <w:pStyle w:val="5BodyText"/>
        <w:numPr>
          <w:ilvl w:val="0"/>
          <w:numId w:val="143"/>
        </w:numPr>
        <w:rPr>
          <w:color w:val="333333" w:themeColor="background1"/>
        </w:rPr>
      </w:pPr>
      <w:r w:rsidRPr="00F041AD">
        <w:rPr>
          <w:color w:val="333333" w:themeColor="background1"/>
        </w:rPr>
        <w:t xml:space="preserve">Gallons produced (liquid advanced biofuels) </w:t>
      </w:r>
    </w:p>
    <w:p w14:paraId="6A99A6F4" w14:textId="77777777" w:rsidR="00B65A50" w:rsidRPr="00F041AD" w:rsidRDefault="00B65A50" w:rsidP="00934BF8">
      <w:pPr>
        <w:pStyle w:val="5BodyText"/>
        <w:numPr>
          <w:ilvl w:val="0"/>
          <w:numId w:val="143"/>
        </w:numPr>
        <w:rPr>
          <w:color w:val="333333" w:themeColor="background1"/>
        </w:rPr>
      </w:pPr>
      <w:proofErr w:type="spellStart"/>
      <w:r w:rsidRPr="00F041AD">
        <w:rPr>
          <w:color w:val="333333" w:themeColor="background1"/>
        </w:rPr>
        <w:t>MMbtus</w:t>
      </w:r>
      <w:proofErr w:type="spellEnd"/>
      <w:r w:rsidRPr="00F041AD">
        <w:rPr>
          <w:color w:val="333333" w:themeColor="background1"/>
        </w:rPr>
        <w:t xml:space="preserve"> produced (gaseous advanced biofuel such as Bio Compressed Natural Gas) </w:t>
      </w:r>
    </w:p>
    <w:p w14:paraId="23A6C30C" w14:textId="77777777" w:rsidR="00B65A50" w:rsidRPr="00F041AD" w:rsidRDefault="00B65A50" w:rsidP="00934BF8">
      <w:pPr>
        <w:pStyle w:val="5BodyText"/>
        <w:numPr>
          <w:ilvl w:val="0"/>
          <w:numId w:val="143"/>
        </w:numPr>
        <w:rPr>
          <w:color w:val="333333" w:themeColor="background1"/>
        </w:rPr>
      </w:pPr>
      <w:r w:rsidRPr="00F041AD">
        <w:rPr>
          <w:color w:val="333333" w:themeColor="background1"/>
        </w:rPr>
        <w:t>Renewable Information Numbers (RINs) generated in MN (liquid and gaseous advanced biofuels under EPA Renewable Fuel Standard)</w:t>
      </w:r>
    </w:p>
    <w:p w14:paraId="4F95661F" w14:textId="77777777" w:rsidR="00B65A50" w:rsidRPr="00F041AD" w:rsidRDefault="00B65A50" w:rsidP="00934BF8">
      <w:pPr>
        <w:pStyle w:val="5BodyText"/>
        <w:numPr>
          <w:ilvl w:val="0"/>
          <w:numId w:val="143"/>
        </w:numPr>
        <w:rPr>
          <w:color w:val="333333" w:themeColor="background1"/>
        </w:rPr>
      </w:pPr>
      <w:r w:rsidRPr="00F041AD">
        <w:rPr>
          <w:color w:val="333333" w:themeColor="background1"/>
        </w:rPr>
        <w:t>Pounds produced (biobased chemicals)</w:t>
      </w:r>
    </w:p>
    <w:p w14:paraId="0E6F21EB" w14:textId="77777777" w:rsidR="00B65A50" w:rsidRPr="00F041AD" w:rsidRDefault="00B65A50" w:rsidP="007C2FA5">
      <w:pPr>
        <w:pStyle w:val="5BodyText"/>
        <w:rPr>
          <w:b/>
          <w:i/>
          <w:color w:val="333333" w:themeColor="background1"/>
        </w:rPr>
      </w:pPr>
    </w:p>
    <w:p w14:paraId="5874E1C7" w14:textId="77777777" w:rsidR="00B65A50" w:rsidRPr="00F041AD" w:rsidRDefault="00B65A50" w:rsidP="007C2FA5">
      <w:pPr>
        <w:pStyle w:val="5BodyText"/>
        <w:rPr>
          <w:b/>
          <w:i/>
          <w:color w:val="333333" w:themeColor="background1"/>
        </w:rPr>
      </w:pPr>
      <w:r w:rsidRPr="00F041AD">
        <w:rPr>
          <w:b/>
          <w:i/>
          <w:color w:val="333333" w:themeColor="background1"/>
        </w:rPr>
        <w:t>Cross-sector opportunities and synergies</w:t>
      </w:r>
    </w:p>
    <w:p w14:paraId="1C844D4F" w14:textId="77777777" w:rsidR="00B65A50" w:rsidRPr="00F041AD" w:rsidRDefault="00B65A50" w:rsidP="00934BF8">
      <w:pPr>
        <w:pStyle w:val="5BodyText"/>
        <w:numPr>
          <w:ilvl w:val="0"/>
          <w:numId w:val="144"/>
        </w:numPr>
        <w:rPr>
          <w:color w:val="333333" w:themeColor="background1"/>
        </w:rPr>
      </w:pPr>
      <w:r w:rsidRPr="00F041AD">
        <w:rPr>
          <w:color w:val="333333" w:themeColor="background1"/>
        </w:rPr>
        <w:t xml:space="preserve">Renewable fuels as a strategy for increasing </w:t>
      </w:r>
      <w:r w:rsidRPr="00F041AD">
        <w:rPr>
          <w:b/>
          <w:color w:val="333333" w:themeColor="background1"/>
        </w:rPr>
        <w:t>alternative fuel vehicle</w:t>
      </w:r>
      <w:r w:rsidRPr="00F041AD">
        <w:rPr>
          <w:color w:val="333333" w:themeColor="background1"/>
        </w:rPr>
        <w:t xml:space="preserve"> options</w:t>
      </w:r>
      <w:r w:rsidRPr="00F041AD">
        <w:rPr>
          <w:color w:val="333333" w:themeColor="background1"/>
        </w:rPr>
        <w:br/>
      </w:r>
    </w:p>
    <w:p w14:paraId="1A9687D3" w14:textId="77777777" w:rsidR="00B65A50" w:rsidRPr="00F041AD" w:rsidRDefault="00B65A50" w:rsidP="00934BF8">
      <w:pPr>
        <w:pStyle w:val="5BodyText"/>
        <w:numPr>
          <w:ilvl w:val="0"/>
          <w:numId w:val="144"/>
        </w:numPr>
        <w:rPr>
          <w:color w:val="333333" w:themeColor="background1"/>
        </w:rPr>
      </w:pPr>
      <w:r w:rsidRPr="00F041AD">
        <w:rPr>
          <w:color w:val="333333" w:themeColor="background1"/>
        </w:rPr>
        <w:t xml:space="preserve">A more robust advanced biofuel market can help commercialize </w:t>
      </w:r>
      <w:r w:rsidRPr="00F041AD">
        <w:rPr>
          <w:b/>
          <w:color w:val="333333" w:themeColor="background1"/>
        </w:rPr>
        <w:t>anaerobic digestion</w:t>
      </w:r>
      <w:r w:rsidRPr="00F041AD">
        <w:rPr>
          <w:color w:val="333333" w:themeColor="background1"/>
        </w:rPr>
        <w:t xml:space="preserve"> projects that would clean and upgrade produced biogas as a source of transportation fuel.  </w:t>
      </w:r>
      <w:r w:rsidRPr="00F041AD">
        <w:rPr>
          <w:color w:val="333333" w:themeColor="background1"/>
        </w:rPr>
        <w:br/>
      </w:r>
    </w:p>
    <w:p w14:paraId="1BE55F01" w14:textId="77777777" w:rsidR="00B65A50" w:rsidRPr="00F041AD" w:rsidRDefault="00B65A50" w:rsidP="00934BF8">
      <w:pPr>
        <w:pStyle w:val="5BodyText"/>
        <w:numPr>
          <w:ilvl w:val="0"/>
          <w:numId w:val="144"/>
        </w:numPr>
        <w:rPr>
          <w:color w:val="333333" w:themeColor="background1"/>
        </w:rPr>
      </w:pPr>
      <w:r w:rsidRPr="00F041AD">
        <w:rPr>
          <w:color w:val="333333" w:themeColor="background1"/>
        </w:rPr>
        <w:t xml:space="preserve">Industrial facilities for biofuel or biochemical production can capture waste heat for </w:t>
      </w:r>
      <w:r w:rsidRPr="00F041AD">
        <w:rPr>
          <w:b/>
          <w:color w:val="333333" w:themeColor="background1"/>
        </w:rPr>
        <w:t xml:space="preserve">combined heat and power, thermal energy grids, </w:t>
      </w:r>
      <w:r w:rsidRPr="00F041AD">
        <w:rPr>
          <w:color w:val="333333" w:themeColor="background1"/>
        </w:rPr>
        <w:t>or other integrated systems.</w:t>
      </w:r>
      <w:r w:rsidRPr="00F041AD">
        <w:rPr>
          <w:color w:val="333333" w:themeColor="background1"/>
        </w:rPr>
        <w:br/>
        <w:t xml:space="preserve"> </w:t>
      </w:r>
    </w:p>
    <w:p w14:paraId="17066BFB" w14:textId="5584CF0F" w:rsidR="00B65A50" w:rsidRPr="00F041AD" w:rsidRDefault="00206EC9" w:rsidP="00934BF8">
      <w:pPr>
        <w:pStyle w:val="5BodyText"/>
        <w:numPr>
          <w:ilvl w:val="0"/>
          <w:numId w:val="144"/>
        </w:numPr>
        <w:rPr>
          <w:b/>
          <w:i/>
          <w:color w:val="333333" w:themeColor="background1"/>
        </w:rPr>
      </w:pPr>
      <w:r w:rsidRPr="00C01B55">
        <w:t xml:space="preserve">To improve </w:t>
      </w:r>
      <w:r w:rsidRPr="00C01B55">
        <w:rPr>
          <w:b/>
        </w:rPr>
        <w:t>Coordination and Promotion of Clean Energy Industry</w:t>
      </w:r>
      <w:r w:rsidRPr="00C01B55">
        <w:t xml:space="preserve"> an industry-led organization could coordinate communication across the wide range of biomass-based energy and chemical interests,</w:t>
      </w:r>
      <w:r w:rsidRPr="00C01B55">
        <w:rPr>
          <w:b/>
        </w:rPr>
        <w:t xml:space="preserve"> </w:t>
      </w:r>
      <w:r w:rsidR="00B65A50" w:rsidRPr="00F041AD">
        <w:rPr>
          <w:color w:val="333333" w:themeColor="background1"/>
        </w:rPr>
        <w:t>provide marketing assistance to advertise Minnesota-sourced biofuels and biobased chemicals, and to attract biobased production and feedstock development companies to the state.</w:t>
      </w:r>
    </w:p>
    <w:p w14:paraId="139A2B85" w14:textId="77777777" w:rsidR="00B65A50" w:rsidRPr="00F041AD" w:rsidRDefault="00B65A50" w:rsidP="007C2FA5">
      <w:pPr>
        <w:pStyle w:val="5BodyText"/>
        <w:rPr>
          <w:b/>
          <w:i/>
          <w:color w:val="333333" w:themeColor="background1"/>
        </w:rPr>
      </w:pPr>
    </w:p>
    <w:p w14:paraId="6C694A1B" w14:textId="77777777" w:rsidR="00B65A50" w:rsidRPr="00F041AD" w:rsidRDefault="00B65A50" w:rsidP="007C2FA5">
      <w:pPr>
        <w:pStyle w:val="5BodyText"/>
        <w:rPr>
          <w:b/>
          <w:i/>
          <w:color w:val="333333" w:themeColor="background1"/>
        </w:rPr>
      </w:pPr>
      <w:r w:rsidRPr="00F041AD">
        <w:rPr>
          <w:b/>
          <w:i/>
          <w:color w:val="333333" w:themeColor="background1"/>
        </w:rPr>
        <w:t>Ongoing Minnesota initiatives</w:t>
      </w:r>
    </w:p>
    <w:p w14:paraId="7776279A" w14:textId="77777777" w:rsidR="00B65A50" w:rsidRPr="00F041AD" w:rsidRDefault="00B65A50" w:rsidP="00934BF8">
      <w:pPr>
        <w:pStyle w:val="5BodyText"/>
        <w:numPr>
          <w:ilvl w:val="0"/>
          <w:numId w:val="145"/>
        </w:numPr>
        <w:rPr>
          <w:rFonts w:asciiTheme="majorHAnsi" w:hAnsiTheme="majorHAnsi"/>
          <w:color w:val="333333" w:themeColor="background1"/>
        </w:rPr>
      </w:pPr>
      <w:r w:rsidRPr="00F041AD">
        <w:rPr>
          <w:rFonts w:asciiTheme="majorHAnsi" w:hAnsiTheme="majorHAnsi"/>
          <w:color w:val="333333" w:themeColor="background1"/>
        </w:rPr>
        <w:t xml:space="preserve">Central Lakes College performs </w:t>
      </w:r>
      <w:hyperlink r:id="rId194">
        <w:r w:rsidRPr="00F041AD">
          <w:rPr>
            <w:rFonts w:asciiTheme="majorHAnsi" w:hAnsiTheme="majorHAnsi"/>
            <w:color w:val="333333" w:themeColor="background1"/>
            <w:u w:val="single"/>
          </w:rPr>
          <w:t>biofuel and biomass</w:t>
        </w:r>
      </w:hyperlink>
      <w:r w:rsidRPr="00F041AD">
        <w:rPr>
          <w:rFonts w:asciiTheme="majorHAnsi" w:hAnsiTheme="majorHAnsi"/>
          <w:color w:val="333333" w:themeColor="background1"/>
        </w:rPr>
        <w:t xml:space="preserve"> energy crop production research.</w:t>
      </w:r>
      <w:r w:rsidRPr="00F041AD">
        <w:rPr>
          <w:rStyle w:val="EndnoteReference"/>
          <w:rFonts w:asciiTheme="majorHAnsi" w:hAnsiTheme="majorHAnsi"/>
          <w:color w:val="333333" w:themeColor="background1"/>
        </w:rPr>
        <w:endnoteReference w:id="260"/>
      </w:r>
      <w:r w:rsidRPr="00F041AD">
        <w:rPr>
          <w:rFonts w:asciiTheme="majorHAnsi" w:hAnsiTheme="majorHAnsi"/>
          <w:color w:val="333333" w:themeColor="background1"/>
        </w:rPr>
        <w:br/>
      </w:r>
    </w:p>
    <w:p w14:paraId="0ADA4299" w14:textId="77777777" w:rsidR="00B65A50" w:rsidRPr="00F041AD" w:rsidRDefault="00B65A50" w:rsidP="00934BF8">
      <w:pPr>
        <w:pStyle w:val="5BodyText"/>
        <w:numPr>
          <w:ilvl w:val="0"/>
          <w:numId w:val="145"/>
        </w:numPr>
        <w:rPr>
          <w:rFonts w:asciiTheme="majorHAnsi" w:hAnsiTheme="majorHAnsi"/>
          <w:color w:val="333333" w:themeColor="background1"/>
        </w:rPr>
      </w:pPr>
      <w:r w:rsidRPr="00F041AD">
        <w:rPr>
          <w:rFonts w:asciiTheme="majorHAnsi" w:hAnsiTheme="majorHAnsi"/>
          <w:color w:val="333333" w:themeColor="background1"/>
        </w:rPr>
        <w:t xml:space="preserve">The </w:t>
      </w:r>
      <w:hyperlink r:id="rId195">
        <w:r w:rsidRPr="00F041AD">
          <w:rPr>
            <w:rFonts w:asciiTheme="majorHAnsi" w:hAnsiTheme="majorHAnsi"/>
            <w:color w:val="333333" w:themeColor="background1"/>
            <w:u w:val="single"/>
          </w:rPr>
          <w:t>Chemical Extractives Laboratory</w:t>
        </w:r>
      </w:hyperlink>
      <w:r w:rsidRPr="00F041AD">
        <w:rPr>
          <w:rFonts w:asciiTheme="majorHAnsi" w:hAnsiTheme="majorHAnsi"/>
          <w:color w:val="333333" w:themeColor="background1"/>
        </w:rPr>
        <w:t xml:space="preserve"> at the Natural Resources Research Institute performs research into methods for extracting valuable organic materials from industry byproducts.</w:t>
      </w:r>
      <w:r w:rsidRPr="00F041AD">
        <w:rPr>
          <w:rStyle w:val="EndnoteReference"/>
          <w:rFonts w:asciiTheme="majorHAnsi" w:hAnsiTheme="majorHAnsi"/>
          <w:color w:val="333333" w:themeColor="background1"/>
        </w:rPr>
        <w:endnoteReference w:id="261"/>
      </w:r>
      <w:r w:rsidRPr="00F041AD">
        <w:rPr>
          <w:rFonts w:asciiTheme="majorHAnsi" w:hAnsiTheme="majorHAnsi"/>
          <w:color w:val="333333" w:themeColor="background1"/>
        </w:rPr>
        <w:br/>
      </w:r>
    </w:p>
    <w:p w14:paraId="7239A09A" w14:textId="77777777" w:rsidR="00B65A50" w:rsidRPr="00F041AD" w:rsidRDefault="00B65A50" w:rsidP="00934BF8">
      <w:pPr>
        <w:pStyle w:val="5BodyText"/>
        <w:numPr>
          <w:ilvl w:val="0"/>
          <w:numId w:val="145"/>
        </w:numPr>
        <w:rPr>
          <w:rFonts w:asciiTheme="majorHAnsi" w:hAnsiTheme="majorHAnsi"/>
          <w:color w:val="333333" w:themeColor="background1"/>
        </w:rPr>
      </w:pPr>
      <w:r w:rsidRPr="00F041AD">
        <w:rPr>
          <w:rFonts w:asciiTheme="majorHAnsi" w:hAnsiTheme="majorHAnsi"/>
          <w:color w:val="333333" w:themeColor="background1"/>
        </w:rPr>
        <w:t>The University of Minnesota has several energy cropping research activities and initiatives, including:</w:t>
      </w:r>
    </w:p>
    <w:p w14:paraId="27D3168E" w14:textId="77777777" w:rsidR="00B65A50" w:rsidRPr="00F041AD" w:rsidRDefault="006506BB" w:rsidP="00934BF8">
      <w:pPr>
        <w:pStyle w:val="5BodyText"/>
        <w:numPr>
          <w:ilvl w:val="1"/>
          <w:numId w:val="145"/>
        </w:numPr>
        <w:rPr>
          <w:rFonts w:asciiTheme="majorHAnsi" w:hAnsiTheme="majorHAnsi"/>
          <w:color w:val="333333" w:themeColor="background1"/>
        </w:rPr>
      </w:pPr>
      <w:hyperlink r:id="rId196">
        <w:r w:rsidR="00B65A50" w:rsidRPr="00F041AD">
          <w:rPr>
            <w:rFonts w:asciiTheme="majorHAnsi" w:hAnsiTheme="majorHAnsi"/>
            <w:color w:val="333333" w:themeColor="background1"/>
            <w:u w:val="single"/>
          </w:rPr>
          <w:t>Forever Green</w:t>
        </w:r>
      </w:hyperlink>
      <w:r w:rsidR="00B65A50" w:rsidRPr="00F041AD">
        <w:rPr>
          <w:rStyle w:val="EndnoteReference"/>
          <w:rFonts w:asciiTheme="majorHAnsi" w:hAnsiTheme="majorHAnsi"/>
          <w:color w:val="333333" w:themeColor="background1"/>
          <w:u w:val="single"/>
        </w:rPr>
        <w:endnoteReference w:id="262"/>
      </w:r>
      <w:r w:rsidR="00B65A50" w:rsidRPr="00F041AD">
        <w:rPr>
          <w:rFonts w:asciiTheme="majorHAnsi" w:hAnsiTheme="majorHAnsi"/>
          <w:color w:val="333333" w:themeColor="background1"/>
        </w:rPr>
        <w:t xml:space="preserve"> </w:t>
      </w:r>
    </w:p>
    <w:p w14:paraId="6814FA8F" w14:textId="77777777" w:rsidR="00B65A50" w:rsidRPr="00F041AD" w:rsidRDefault="006506BB" w:rsidP="00934BF8">
      <w:pPr>
        <w:pStyle w:val="5BodyText"/>
        <w:numPr>
          <w:ilvl w:val="1"/>
          <w:numId w:val="145"/>
        </w:numPr>
        <w:rPr>
          <w:rFonts w:asciiTheme="majorHAnsi" w:hAnsiTheme="majorHAnsi"/>
          <w:color w:val="333333" w:themeColor="background1"/>
        </w:rPr>
      </w:pPr>
      <w:hyperlink r:id="rId197">
        <w:r w:rsidR="00B65A50" w:rsidRPr="00F041AD">
          <w:rPr>
            <w:rFonts w:asciiTheme="majorHAnsi" w:hAnsiTheme="majorHAnsi"/>
            <w:color w:val="333333" w:themeColor="background1"/>
            <w:u w:val="single"/>
          </w:rPr>
          <w:t>Green Lands Blue Waters</w:t>
        </w:r>
      </w:hyperlink>
      <w:r w:rsidR="00B65A50" w:rsidRPr="00F041AD">
        <w:rPr>
          <w:rStyle w:val="EndnoteReference"/>
          <w:rFonts w:asciiTheme="majorHAnsi" w:hAnsiTheme="majorHAnsi"/>
          <w:color w:val="333333" w:themeColor="background1"/>
          <w:u w:val="single"/>
        </w:rPr>
        <w:endnoteReference w:id="263"/>
      </w:r>
    </w:p>
    <w:p w14:paraId="07DD29E7" w14:textId="77777777" w:rsidR="00B65A50" w:rsidRPr="00F041AD" w:rsidRDefault="006506BB" w:rsidP="00934BF8">
      <w:pPr>
        <w:pStyle w:val="5BodyText"/>
        <w:numPr>
          <w:ilvl w:val="1"/>
          <w:numId w:val="145"/>
        </w:numPr>
        <w:rPr>
          <w:rFonts w:asciiTheme="majorHAnsi" w:hAnsiTheme="majorHAnsi"/>
          <w:color w:val="333333" w:themeColor="background1"/>
        </w:rPr>
      </w:pPr>
      <w:hyperlink r:id="rId198">
        <w:r w:rsidR="00B65A50" w:rsidRPr="00F041AD">
          <w:rPr>
            <w:rFonts w:asciiTheme="majorHAnsi" w:hAnsiTheme="majorHAnsi"/>
            <w:color w:val="333333" w:themeColor="background1"/>
            <w:u w:val="single"/>
          </w:rPr>
          <w:t>Green Prairie Alliance</w:t>
        </w:r>
      </w:hyperlink>
      <w:r w:rsidR="00B65A50" w:rsidRPr="00F041AD">
        <w:rPr>
          <w:rStyle w:val="EndnoteReference"/>
          <w:rFonts w:asciiTheme="majorHAnsi" w:hAnsiTheme="majorHAnsi"/>
          <w:color w:val="333333" w:themeColor="background1"/>
          <w:u w:val="single"/>
        </w:rPr>
        <w:endnoteReference w:id="264"/>
      </w:r>
      <w:r w:rsidR="00B65A50" w:rsidRPr="00F041AD">
        <w:rPr>
          <w:rFonts w:asciiTheme="majorHAnsi" w:hAnsiTheme="majorHAnsi"/>
          <w:color w:val="333333" w:themeColor="background1"/>
        </w:rPr>
        <w:t xml:space="preserve"> </w:t>
      </w:r>
      <w:r w:rsidR="00B65A50" w:rsidRPr="00F041AD">
        <w:rPr>
          <w:rFonts w:asciiTheme="majorHAnsi" w:hAnsiTheme="majorHAnsi"/>
          <w:color w:val="333333" w:themeColor="background1"/>
        </w:rPr>
        <w:br/>
      </w:r>
    </w:p>
    <w:p w14:paraId="4A9D3040" w14:textId="252400F0" w:rsidR="00B65A50" w:rsidRPr="00F041AD" w:rsidRDefault="00B65A50" w:rsidP="00934BF8">
      <w:pPr>
        <w:pStyle w:val="5BodyText"/>
        <w:numPr>
          <w:ilvl w:val="0"/>
          <w:numId w:val="145"/>
        </w:numPr>
        <w:rPr>
          <w:rFonts w:asciiTheme="majorHAnsi" w:hAnsiTheme="majorHAnsi"/>
          <w:color w:val="333333" w:themeColor="background1"/>
        </w:rPr>
      </w:pPr>
      <w:r w:rsidRPr="00F041AD">
        <w:rPr>
          <w:rFonts w:asciiTheme="majorHAnsi" w:hAnsiTheme="majorHAnsi"/>
          <w:color w:val="333333" w:themeColor="background1"/>
        </w:rPr>
        <w:t xml:space="preserve">The Agricultural Utilization Research Institute leads an initiative around </w:t>
      </w:r>
      <w:hyperlink r:id="rId199" w:history="1">
        <w:proofErr w:type="spellStart"/>
        <w:r w:rsidRPr="00F041AD">
          <w:rPr>
            <w:rStyle w:val="Hyperlink"/>
            <w:rFonts w:asciiTheme="majorHAnsi" w:hAnsiTheme="majorHAnsi"/>
            <w:color w:val="333333" w:themeColor="background1"/>
          </w:rPr>
          <w:t>agbioscience</w:t>
        </w:r>
        <w:proofErr w:type="spellEnd"/>
        <w:r w:rsidRPr="00F041AD">
          <w:rPr>
            <w:rStyle w:val="Hyperlink"/>
            <w:rFonts w:asciiTheme="majorHAnsi" w:hAnsiTheme="majorHAnsi"/>
            <w:color w:val="333333" w:themeColor="background1"/>
          </w:rPr>
          <w:t xml:space="preserve"> leadership</w:t>
        </w:r>
      </w:hyperlink>
      <w:r w:rsidRPr="00F041AD">
        <w:rPr>
          <w:rFonts w:asciiTheme="majorHAnsi" w:hAnsiTheme="majorHAnsi"/>
          <w:color w:val="333333" w:themeColor="background1"/>
        </w:rPr>
        <w:t xml:space="preserve"> in Minnesota</w:t>
      </w:r>
      <w:r w:rsidRPr="00F041AD">
        <w:rPr>
          <w:rStyle w:val="EndnoteReference"/>
          <w:rFonts w:asciiTheme="majorHAnsi" w:hAnsiTheme="majorHAnsi"/>
          <w:color w:val="333333" w:themeColor="background1"/>
        </w:rPr>
        <w:endnoteReference w:id="265"/>
      </w:r>
      <w:r w:rsidR="00AB3CF5" w:rsidRPr="00F041AD">
        <w:rPr>
          <w:rFonts w:asciiTheme="majorHAnsi" w:hAnsiTheme="majorHAnsi"/>
          <w:color w:val="333333" w:themeColor="background1"/>
        </w:rPr>
        <w:t xml:space="preserve"> and provides a </w:t>
      </w:r>
      <w:hyperlink r:id="rId200" w:history="1">
        <w:r w:rsidR="00AB3CF5" w:rsidRPr="00F041AD">
          <w:rPr>
            <w:rStyle w:val="Hyperlink"/>
            <w:rFonts w:asciiTheme="majorHAnsi" w:hAnsiTheme="majorHAnsi"/>
            <w:color w:val="333333" w:themeColor="background1"/>
          </w:rPr>
          <w:t>catalogue</w:t>
        </w:r>
      </w:hyperlink>
      <w:r w:rsidR="00AB3CF5" w:rsidRPr="00F041AD">
        <w:rPr>
          <w:rFonts w:asciiTheme="majorHAnsi" w:hAnsiTheme="majorHAnsi"/>
          <w:color w:val="333333" w:themeColor="background1"/>
        </w:rPr>
        <w:t xml:space="preserve"> of bioenergy resources in the state.</w:t>
      </w:r>
      <w:r w:rsidR="00AB3CF5" w:rsidRPr="00F041AD">
        <w:rPr>
          <w:rStyle w:val="EndnoteReference"/>
          <w:rFonts w:asciiTheme="majorHAnsi" w:hAnsiTheme="majorHAnsi"/>
          <w:color w:val="333333" w:themeColor="background1"/>
        </w:rPr>
        <w:endnoteReference w:id="266"/>
      </w:r>
      <w:r w:rsidRPr="00F041AD">
        <w:rPr>
          <w:rFonts w:asciiTheme="majorHAnsi" w:hAnsiTheme="majorHAnsi"/>
          <w:color w:val="333333" w:themeColor="background1"/>
        </w:rPr>
        <w:br/>
      </w:r>
    </w:p>
    <w:p w14:paraId="0B50DCF9" w14:textId="72AFBDC2" w:rsidR="00B65A50" w:rsidRPr="00F041AD" w:rsidRDefault="00B65A50" w:rsidP="00934BF8">
      <w:pPr>
        <w:pStyle w:val="5BodyText"/>
        <w:numPr>
          <w:ilvl w:val="0"/>
          <w:numId w:val="145"/>
        </w:numPr>
        <w:rPr>
          <w:rFonts w:asciiTheme="majorHAnsi" w:hAnsiTheme="majorHAnsi"/>
          <w:color w:val="333333" w:themeColor="background1"/>
        </w:rPr>
      </w:pPr>
      <w:r w:rsidRPr="00F041AD">
        <w:rPr>
          <w:rFonts w:asciiTheme="majorHAnsi" w:hAnsiTheme="majorHAnsi"/>
          <w:color w:val="333333" w:themeColor="background1"/>
        </w:rPr>
        <w:t xml:space="preserve">The </w:t>
      </w:r>
      <w:hyperlink r:id="rId201">
        <w:r w:rsidRPr="00F041AD">
          <w:rPr>
            <w:rFonts w:asciiTheme="majorHAnsi" w:hAnsiTheme="majorHAnsi"/>
            <w:color w:val="333333" w:themeColor="background1"/>
            <w:u w:val="single"/>
          </w:rPr>
          <w:t>Bioeconomy Coalition of Minnesota</w:t>
        </w:r>
      </w:hyperlink>
      <w:r w:rsidRPr="00F041AD">
        <w:rPr>
          <w:rFonts w:asciiTheme="majorHAnsi" w:hAnsiTheme="majorHAnsi"/>
          <w:color w:val="333333" w:themeColor="background1"/>
        </w:rPr>
        <w:t xml:space="preserve"> advocates for </w:t>
      </w:r>
      <w:r w:rsidR="00E426AC" w:rsidRPr="00F041AD">
        <w:rPr>
          <w:rFonts w:asciiTheme="majorHAnsi" w:hAnsiTheme="majorHAnsi"/>
          <w:color w:val="333333" w:themeColor="background1"/>
        </w:rPr>
        <w:t xml:space="preserve">project implementation and </w:t>
      </w:r>
      <w:r w:rsidRPr="00F041AD">
        <w:rPr>
          <w:rFonts w:asciiTheme="majorHAnsi" w:hAnsiTheme="majorHAnsi"/>
          <w:color w:val="333333" w:themeColor="background1"/>
        </w:rPr>
        <w:t xml:space="preserve">policy to support a growing, innovative, prosperous </w:t>
      </w:r>
      <w:proofErr w:type="spellStart"/>
      <w:r w:rsidRPr="00F041AD">
        <w:rPr>
          <w:rFonts w:asciiTheme="majorHAnsi" w:hAnsiTheme="majorHAnsi"/>
          <w:color w:val="333333" w:themeColor="background1"/>
        </w:rPr>
        <w:t>bioeconomy</w:t>
      </w:r>
      <w:proofErr w:type="spellEnd"/>
      <w:r w:rsidRPr="00F041AD">
        <w:rPr>
          <w:rFonts w:asciiTheme="majorHAnsi" w:hAnsiTheme="majorHAnsi"/>
          <w:color w:val="333333" w:themeColor="background1"/>
        </w:rPr>
        <w:t xml:space="preserve"> in Minnesota.</w:t>
      </w:r>
      <w:r w:rsidRPr="00F041AD">
        <w:rPr>
          <w:rStyle w:val="EndnoteReference"/>
          <w:rFonts w:asciiTheme="majorHAnsi" w:hAnsiTheme="majorHAnsi"/>
          <w:color w:val="333333" w:themeColor="background1"/>
        </w:rPr>
        <w:endnoteReference w:id="267"/>
      </w:r>
      <w:r w:rsidRPr="00F041AD">
        <w:rPr>
          <w:rFonts w:asciiTheme="majorHAnsi" w:hAnsiTheme="majorHAnsi"/>
          <w:color w:val="333333" w:themeColor="background1"/>
        </w:rPr>
        <w:br/>
      </w:r>
    </w:p>
    <w:p w14:paraId="3839E824" w14:textId="77777777" w:rsidR="00B65A50" w:rsidRPr="00F041AD" w:rsidRDefault="00B65A50" w:rsidP="00934BF8">
      <w:pPr>
        <w:pStyle w:val="5BodyText"/>
        <w:numPr>
          <w:ilvl w:val="0"/>
          <w:numId w:val="145"/>
        </w:numPr>
        <w:rPr>
          <w:rFonts w:asciiTheme="majorHAnsi" w:hAnsiTheme="majorHAnsi"/>
          <w:color w:val="333333" w:themeColor="background1"/>
        </w:rPr>
      </w:pPr>
      <w:r w:rsidRPr="00F041AD">
        <w:rPr>
          <w:rFonts w:asciiTheme="majorHAnsi" w:hAnsiTheme="majorHAnsi"/>
          <w:color w:val="333333" w:themeColor="background1"/>
        </w:rPr>
        <w:t>There are several early adopter companies and projects that have been leading in this space in Minnesota, including:</w:t>
      </w:r>
    </w:p>
    <w:p w14:paraId="208B82F3" w14:textId="77777777" w:rsidR="00B65A50" w:rsidRPr="00F041AD" w:rsidRDefault="006506BB" w:rsidP="00934BF8">
      <w:pPr>
        <w:pStyle w:val="5BodyText"/>
        <w:numPr>
          <w:ilvl w:val="1"/>
          <w:numId w:val="145"/>
        </w:numPr>
        <w:rPr>
          <w:rFonts w:asciiTheme="majorHAnsi" w:hAnsiTheme="majorHAnsi"/>
          <w:color w:val="333333" w:themeColor="background1"/>
        </w:rPr>
      </w:pPr>
      <w:hyperlink r:id="rId202">
        <w:proofErr w:type="spellStart"/>
        <w:r w:rsidR="00B65A50" w:rsidRPr="00F041AD">
          <w:rPr>
            <w:rFonts w:asciiTheme="majorHAnsi" w:hAnsiTheme="majorHAnsi"/>
            <w:color w:val="333333" w:themeColor="background1"/>
            <w:u w:val="single"/>
          </w:rPr>
          <w:t>NatureWorks</w:t>
        </w:r>
        <w:proofErr w:type="spellEnd"/>
      </w:hyperlink>
      <w:r w:rsidR="00B65A50" w:rsidRPr="00F041AD">
        <w:rPr>
          <w:rFonts w:asciiTheme="majorHAnsi" w:hAnsiTheme="majorHAnsi"/>
          <w:color w:val="333333" w:themeColor="background1"/>
        </w:rPr>
        <w:t>, a Minnetonka company that manufactures biopolymers.</w:t>
      </w:r>
      <w:r w:rsidR="00B65A50" w:rsidRPr="00F041AD">
        <w:rPr>
          <w:rStyle w:val="EndnoteReference"/>
          <w:rFonts w:asciiTheme="majorHAnsi" w:hAnsiTheme="majorHAnsi"/>
          <w:color w:val="333333" w:themeColor="background1"/>
        </w:rPr>
        <w:endnoteReference w:id="268"/>
      </w:r>
    </w:p>
    <w:p w14:paraId="51BE0E2E" w14:textId="77777777" w:rsidR="00B65A50" w:rsidRPr="00F041AD" w:rsidRDefault="006506BB" w:rsidP="00934BF8">
      <w:pPr>
        <w:pStyle w:val="5BodyText"/>
        <w:numPr>
          <w:ilvl w:val="1"/>
          <w:numId w:val="145"/>
        </w:numPr>
        <w:rPr>
          <w:rFonts w:asciiTheme="majorHAnsi" w:hAnsiTheme="majorHAnsi"/>
          <w:color w:val="333333" w:themeColor="background1"/>
        </w:rPr>
      </w:pPr>
      <w:hyperlink r:id="rId203">
        <w:r w:rsidR="00B65A50" w:rsidRPr="00F041AD">
          <w:rPr>
            <w:rFonts w:asciiTheme="majorHAnsi" w:hAnsiTheme="majorHAnsi"/>
            <w:color w:val="333333" w:themeColor="background1"/>
            <w:u w:val="single"/>
          </w:rPr>
          <w:t>Central MN Renewables</w:t>
        </w:r>
      </w:hyperlink>
      <w:r w:rsidR="00B65A50" w:rsidRPr="00F041AD">
        <w:rPr>
          <w:rFonts w:asciiTheme="majorHAnsi" w:hAnsiTheme="majorHAnsi"/>
          <w:color w:val="333333" w:themeColor="background1"/>
        </w:rPr>
        <w:t>, a Little Falls company manufacturing renewable chemicals.</w:t>
      </w:r>
      <w:r w:rsidR="00B65A50" w:rsidRPr="00F041AD">
        <w:rPr>
          <w:rStyle w:val="EndnoteReference"/>
          <w:rFonts w:asciiTheme="majorHAnsi" w:hAnsiTheme="majorHAnsi"/>
          <w:color w:val="333333" w:themeColor="background1"/>
        </w:rPr>
        <w:endnoteReference w:id="269"/>
      </w:r>
    </w:p>
    <w:p w14:paraId="0332DB73" w14:textId="77777777" w:rsidR="00B65A50" w:rsidRPr="00F041AD" w:rsidRDefault="006506BB" w:rsidP="00934BF8">
      <w:pPr>
        <w:pStyle w:val="5BodyText"/>
        <w:numPr>
          <w:ilvl w:val="1"/>
          <w:numId w:val="145"/>
        </w:numPr>
        <w:rPr>
          <w:rFonts w:asciiTheme="majorHAnsi" w:hAnsiTheme="majorHAnsi"/>
          <w:color w:val="333333" w:themeColor="background1"/>
        </w:rPr>
      </w:pPr>
      <w:hyperlink r:id="rId204">
        <w:proofErr w:type="spellStart"/>
        <w:r w:rsidR="00B65A50" w:rsidRPr="00F041AD">
          <w:rPr>
            <w:rFonts w:asciiTheme="majorHAnsi" w:hAnsiTheme="majorHAnsi"/>
            <w:color w:val="333333" w:themeColor="background1"/>
            <w:u w:val="single"/>
          </w:rPr>
          <w:t>Gevo</w:t>
        </w:r>
        <w:proofErr w:type="spellEnd"/>
      </w:hyperlink>
      <w:r w:rsidR="00B65A50" w:rsidRPr="00F041AD">
        <w:rPr>
          <w:rFonts w:asciiTheme="majorHAnsi" w:hAnsiTheme="majorHAnsi"/>
          <w:color w:val="333333" w:themeColor="background1"/>
        </w:rPr>
        <w:t xml:space="preserve">, a </w:t>
      </w:r>
      <w:proofErr w:type="spellStart"/>
      <w:r w:rsidR="00B65A50" w:rsidRPr="00F041AD">
        <w:rPr>
          <w:rFonts w:asciiTheme="majorHAnsi" w:hAnsiTheme="majorHAnsi"/>
          <w:color w:val="333333" w:themeColor="background1"/>
        </w:rPr>
        <w:t>Luverne</w:t>
      </w:r>
      <w:proofErr w:type="spellEnd"/>
      <w:r w:rsidR="00B65A50" w:rsidRPr="00F041AD">
        <w:rPr>
          <w:rFonts w:asciiTheme="majorHAnsi" w:hAnsiTheme="majorHAnsi"/>
          <w:color w:val="333333" w:themeColor="background1"/>
        </w:rPr>
        <w:t xml:space="preserve"> company producing renewable </w:t>
      </w:r>
      <w:proofErr w:type="spellStart"/>
      <w:r w:rsidR="00B65A50" w:rsidRPr="00F041AD">
        <w:rPr>
          <w:rFonts w:asciiTheme="majorHAnsi" w:hAnsiTheme="majorHAnsi"/>
          <w:color w:val="333333" w:themeColor="background1"/>
        </w:rPr>
        <w:t>isobutanol</w:t>
      </w:r>
      <w:proofErr w:type="spellEnd"/>
      <w:r w:rsidR="00B65A50" w:rsidRPr="00F041AD">
        <w:rPr>
          <w:rFonts w:asciiTheme="majorHAnsi" w:hAnsiTheme="majorHAnsi"/>
          <w:color w:val="333333" w:themeColor="background1"/>
        </w:rPr>
        <w:t xml:space="preserve"> and ethanol.</w:t>
      </w:r>
      <w:r w:rsidR="00B65A50" w:rsidRPr="00F041AD">
        <w:rPr>
          <w:rStyle w:val="EndnoteReference"/>
          <w:rFonts w:asciiTheme="majorHAnsi" w:hAnsiTheme="majorHAnsi"/>
          <w:color w:val="333333" w:themeColor="background1"/>
        </w:rPr>
        <w:endnoteReference w:id="270"/>
      </w:r>
      <w:r w:rsidR="00B65A50" w:rsidRPr="00F041AD">
        <w:rPr>
          <w:rFonts w:asciiTheme="majorHAnsi" w:hAnsiTheme="majorHAnsi"/>
          <w:color w:val="333333" w:themeColor="background1"/>
        </w:rPr>
        <w:br/>
      </w:r>
    </w:p>
    <w:p w14:paraId="51196AFF" w14:textId="77777777" w:rsidR="00B65A50" w:rsidRPr="00F041AD" w:rsidRDefault="00B65A50" w:rsidP="00934BF8">
      <w:pPr>
        <w:pStyle w:val="5BodyText"/>
        <w:numPr>
          <w:ilvl w:val="0"/>
          <w:numId w:val="145"/>
        </w:numPr>
        <w:rPr>
          <w:rFonts w:asciiTheme="majorHAnsi" w:hAnsiTheme="majorHAnsi"/>
          <w:color w:val="333333" w:themeColor="background1"/>
        </w:rPr>
      </w:pPr>
      <w:r w:rsidRPr="00F041AD">
        <w:rPr>
          <w:rFonts w:asciiTheme="majorHAnsi" w:hAnsiTheme="majorHAnsi"/>
          <w:color w:val="333333" w:themeColor="background1"/>
        </w:rPr>
        <w:t>In October of 2015 the MN Department of Agriculture (MDA) was awarded $8 million from the U.S. Department of Agriculture’s Biofuel Infrastructure Partnership that will be matched with $6.11 million from MDA and in-kind contributions from in-state partners.</w:t>
      </w:r>
      <w:r w:rsidRPr="00F041AD">
        <w:rPr>
          <w:rFonts w:asciiTheme="majorHAnsi" w:hAnsiTheme="majorHAnsi"/>
          <w:color w:val="333333" w:themeColor="background1"/>
          <w:vertAlign w:val="superscript"/>
        </w:rPr>
        <w:endnoteReference w:id="271"/>
      </w:r>
      <w:r w:rsidRPr="00F041AD">
        <w:rPr>
          <w:rFonts w:asciiTheme="majorHAnsi" w:hAnsiTheme="majorHAnsi"/>
          <w:color w:val="333333" w:themeColor="background1"/>
        </w:rPr>
        <w:t>This new investment is estimated to assist with the installation or retrofit of 620 pumps for various biofuels and related equipment at approximately 165 retail stations.</w:t>
      </w:r>
      <w:r w:rsidRPr="00F041AD">
        <w:rPr>
          <w:rFonts w:asciiTheme="majorHAnsi" w:hAnsiTheme="majorHAnsi"/>
          <w:color w:val="333333" w:themeColor="background1"/>
          <w:vertAlign w:val="superscript"/>
        </w:rPr>
        <w:endnoteReference w:id="272"/>
      </w:r>
      <w:r w:rsidRPr="00F041AD">
        <w:rPr>
          <w:rFonts w:asciiTheme="majorHAnsi" w:hAnsiTheme="majorHAnsi"/>
          <w:color w:val="333333" w:themeColor="background1"/>
        </w:rPr>
        <w:t xml:space="preserve"> </w:t>
      </w:r>
      <w:r w:rsidRPr="00F041AD">
        <w:rPr>
          <w:rFonts w:asciiTheme="majorHAnsi" w:hAnsiTheme="majorHAnsi"/>
          <w:color w:val="333333" w:themeColor="background1"/>
        </w:rPr>
        <w:br/>
      </w:r>
    </w:p>
    <w:p w14:paraId="572A9686" w14:textId="77777777" w:rsidR="00B65A50" w:rsidRPr="00F041AD" w:rsidRDefault="00B65A50" w:rsidP="00934BF8">
      <w:pPr>
        <w:pStyle w:val="5BodyText"/>
        <w:numPr>
          <w:ilvl w:val="0"/>
          <w:numId w:val="145"/>
        </w:numPr>
        <w:rPr>
          <w:rFonts w:asciiTheme="majorHAnsi" w:hAnsiTheme="majorHAnsi"/>
          <w:color w:val="333333" w:themeColor="background1"/>
        </w:rPr>
      </w:pPr>
      <w:r w:rsidRPr="00F041AD">
        <w:rPr>
          <w:rFonts w:asciiTheme="majorHAnsi" w:hAnsiTheme="majorHAnsi"/>
          <w:color w:val="333333" w:themeColor="background1"/>
        </w:rPr>
        <w:t xml:space="preserve">In 2015 the Minnesota legislature put in place a </w:t>
      </w:r>
      <w:hyperlink r:id="rId205" w:history="1">
        <w:r w:rsidRPr="00F041AD">
          <w:rPr>
            <w:rStyle w:val="Hyperlink"/>
            <w:rFonts w:asciiTheme="majorHAnsi" w:hAnsiTheme="majorHAnsi"/>
            <w:color w:val="333333" w:themeColor="background1"/>
          </w:rPr>
          <w:t>new financing mechanism</w:t>
        </w:r>
      </w:hyperlink>
      <w:r w:rsidRPr="00F041AD">
        <w:rPr>
          <w:rFonts w:asciiTheme="majorHAnsi" w:hAnsiTheme="majorHAnsi"/>
          <w:color w:val="333333" w:themeColor="background1"/>
        </w:rPr>
        <w:t xml:space="preserve"> to assist with the commercial deployment of advanced biofuels and biobased chemicals. Eligible projects have until 2025 to come online and access state financing.</w:t>
      </w:r>
      <w:r w:rsidRPr="00F041AD">
        <w:rPr>
          <w:rStyle w:val="EndnoteReference"/>
          <w:rFonts w:asciiTheme="majorHAnsi" w:hAnsiTheme="majorHAnsi"/>
          <w:color w:val="333333" w:themeColor="background1"/>
        </w:rPr>
        <w:endnoteReference w:id="273"/>
      </w:r>
      <w:r w:rsidRPr="00F041AD">
        <w:rPr>
          <w:rFonts w:asciiTheme="majorHAnsi" w:hAnsiTheme="majorHAnsi"/>
          <w:color w:val="333333" w:themeColor="background1"/>
        </w:rPr>
        <w:t xml:space="preserve"> </w:t>
      </w:r>
      <w:r w:rsidRPr="00F041AD">
        <w:rPr>
          <w:rFonts w:asciiTheme="majorHAnsi" w:hAnsiTheme="majorHAnsi"/>
          <w:color w:val="333333" w:themeColor="background1"/>
        </w:rPr>
        <w:br/>
      </w:r>
    </w:p>
    <w:p w14:paraId="17DD7404" w14:textId="7B889614" w:rsidR="00B65A50" w:rsidRPr="00F041AD" w:rsidRDefault="00B65A50" w:rsidP="00934BF8">
      <w:pPr>
        <w:pStyle w:val="5BodyText"/>
        <w:numPr>
          <w:ilvl w:val="0"/>
          <w:numId w:val="145"/>
        </w:numPr>
        <w:rPr>
          <w:rFonts w:asciiTheme="majorHAnsi" w:hAnsiTheme="majorHAnsi"/>
          <w:color w:val="333333" w:themeColor="background1"/>
        </w:rPr>
      </w:pPr>
      <w:r w:rsidRPr="00F041AD">
        <w:rPr>
          <w:rFonts w:asciiTheme="majorHAnsi" w:hAnsiTheme="majorHAnsi"/>
          <w:color w:val="333333" w:themeColor="background1"/>
        </w:rPr>
        <w:lastRenderedPageBreak/>
        <w:t xml:space="preserve">The Minnesota Department of Agriculture has an </w:t>
      </w:r>
      <w:hyperlink r:id="rId206" w:history="1">
        <w:r w:rsidRPr="00F041AD">
          <w:rPr>
            <w:rStyle w:val="Hyperlink"/>
            <w:rFonts w:asciiTheme="majorHAnsi" w:hAnsiTheme="majorHAnsi"/>
            <w:color w:val="333333" w:themeColor="background1"/>
          </w:rPr>
          <w:t>Agricultural Growth, Research and Innovation (AGRI)</w:t>
        </w:r>
      </w:hyperlink>
      <w:r w:rsidRPr="00F041AD">
        <w:rPr>
          <w:rFonts w:asciiTheme="majorHAnsi" w:hAnsiTheme="majorHAnsi"/>
          <w:color w:val="333333" w:themeColor="background1"/>
        </w:rPr>
        <w:t xml:space="preserve"> program.</w:t>
      </w:r>
      <w:r w:rsidRPr="00F041AD">
        <w:rPr>
          <w:rStyle w:val="EndnoteReference"/>
          <w:rFonts w:asciiTheme="majorHAnsi" w:hAnsiTheme="majorHAnsi"/>
          <w:color w:val="333333" w:themeColor="background1"/>
        </w:rPr>
        <w:endnoteReference w:id="274"/>
      </w:r>
      <w:r w:rsidRPr="00F041AD">
        <w:rPr>
          <w:rFonts w:asciiTheme="majorHAnsi" w:hAnsiTheme="majorHAnsi"/>
          <w:color w:val="333333" w:themeColor="background1"/>
        </w:rPr>
        <w:br/>
      </w:r>
    </w:p>
    <w:p w14:paraId="1E75DC74" w14:textId="6308531B" w:rsidR="00B65A50" w:rsidRPr="00F041AD" w:rsidRDefault="00B65A50" w:rsidP="00934BF8">
      <w:pPr>
        <w:pStyle w:val="5BodyText"/>
        <w:numPr>
          <w:ilvl w:val="0"/>
          <w:numId w:val="145"/>
        </w:numPr>
        <w:rPr>
          <w:rFonts w:asciiTheme="majorHAnsi" w:hAnsiTheme="majorHAnsi"/>
          <w:color w:val="333333" w:themeColor="background1"/>
        </w:rPr>
      </w:pPr>
      <w:r w:rsidRPr="00F041AD">
        <w:rPr>
          <w:rFonts w:asciiTheme="majorHAnsi" w:hAnsiTheme="majorHAnsi"/>
          <w:color w:val="333333" w:themeColor="background1"/>
        </w:rPr>
        <w:t xml:space="preserve">The </w:t>
      </w:r>
      <w:hyperlink r:id="rId207" w:history="1">
        <w:r w:rsidRPr="00F041AD">
          <w:rPr>
            <w:rStyle w:val="Hyperlink"/>
            <w:rFonts w:asciiTheme="majorHAnsi" w:hAnsiTheme="majorHAnsi"/>
            <w:color w:val="333333" w:themeColor="background1"/>
          </w:rPr>
          <w:t>Iron Range Resources and Reh</w:t>
        </w:r>
        <w:r w:rsidRPr="00F041AD">
          <w:rPr>
            <w:rStyle w:val="Hyperlink"/>
            <w:rFonts w:asciiTheme="majorHAnsi" w:hAnsiTheme="majorHAnsi"/>
            <w:color w:val="333333" w:themeColor="background1"/>
          </w:rPr>
          <w:t>a</w:t>
        </w:r>
        <w:r w:rsidRPr="00F041AD">
          <w:rPr>
            <w:rStyle w:val="Hyperlink"/>
            <w:rFonts w:asciiTheme="majorHAnsi" w:hAnsiTheme="majorHAnsi"/>
            <w:color w:val="333333" w:themeColor="background1"/>
          </w:rPr>
          <w:t>b</w:t>
        </w:r>
        <w:r w:rsidRPr="00F041AD">
          <w:rPr>
            <w:rStyle w:val="Hyperlink"/>
            <w:rFonts w:asciiTheme="majorHAnsi" w:hAnsiTheme="majorHAnsi"/>
            <w:color w:val="333333" w:themeColor="background1"/>
          </w:rPr>
          <w:t>i</w:t>
        </w:r>
        <w:r w:rsidRPr="00F041AD">
          <w:rPr>
            <w:rStyle w:val="Hyperlink"/>
            <w:rFonts w:asciiTheme="majorHAnsi" w:hAnsiTheme="majorHAnsi"/>
            <w:color w:val="333333" w:themeColor="background1"/>
          </w:rPr>
          <w:t>litation Boar</w:t>
        </w:r>
        <w:r w:rsidRPr="00F041AD">
          <w:rPr>
            <w:rStyle w:val="Hyperlink"/>
            <w:rFonts w:asciiTheme="majorHAnsi" w:hAnsiTheme="majorHAnsi"/>
            <w:color w:val="333333" w:themeColor="background1"/>
          </w:rPr>
          <w:t>d</w:t>
        </w:r>
      </w:hyperlink>
      <w:r w:rsidRPr="00F041AD">
        <w:rPr>
          <w:rFonts w:asciiTheme="majorHAnsi" w:hAnsiTheme="majorHAnsi"/>
          <w:color w:val="333333" w:themeColor="background1"/>
        </w:rPr>
        <w:t xml:space="preserve"> is involved with activities around forestry products in Northeastern Minnesota.</w:t>
      </w:r>
      <w:r w:rsidRPr="00F041AD">
        <w:rPr>
          <w:rStyle w:val="EndnoteReference"/>
          <w:rFonts w:asciiTheme="majorHAnsi" w:hAnsiTheme="majorHAnsi"/>
          <w:color w:val="333333" w:themeColor="background1"/>
        </w:rPr>
        <w:endnoteReference w:id="275"/>
      </w:r>
      <w:r w:rsidRPr="00F041AD">
        <w:rPr>
          <w:rFonts w:asciiTheme="majorHAnsi" w:hAnsiTheme="majorHAnsi"/>
          <w:color w:val="333333" w:themeColor="background1"/>
        </w:rPr>
        <w:br/>
      </w:r>
    </w:p>
    <w:p w14:paraId="08928147" w14:textId="23FDD91D" w:rsidR="00B65A50" w:rsidRPr="001F63F9" w:rsidRDefault="00B65A50" w:rsidP="00087ED1">
      <w:pPr>
        <w:pStyle w:val="5BodyText"/>
        <w:numPr>
          <w:ilvl w:val="0"/>
          <w:numId w:val="145"/>
        </w:numPr>
        <w:rPr>
          <w:b/>
          <w:color w:val="333333" w:themeColor="background1"/>
        </w:rPr>
      </w:pPr>
      <w:r w:rsidRPr="005D4341">
        <w:rPr>
          <w:rFonts w:asciiTheme="majorHAnsi" w:hAnsiTheme="majorHAnsi"/>
          <w:color w:val="333333" w:themeColor="background1"/>
        </w:rPr>
        <w:t xml:space="preserve">Agriculture Research, Education, Extension, and Technology Transfer Grant Program, </w:t>
      </w:r>
      <w:hyperlink r:id="rId208">
        <w:r w:rsidRPr="005D4341">
          <w:rPr>
            <w:rFonts w:asciiTheme="majorHAnsi" w:hAnsiTheme="majorHAnsi"/>
            <w:color w:val="333333" w:themeColor="background1"/>
            <w:u w:val="single"/>
          </w:rPr>
          <w:t>MN Statute 41A.14</w:t>
        </w:r>
      </w:hyperlink>
      <w:r w:rsidRPr="005D4341">
        <w:rPr>
          <w:rFonts w:asciiTheme="majorHAnsi" w:hAnsiTheme="majorHAnsi"/>
          <w:color w:val="333333" w:themeColor="background1"/>
        </w:rPr>
        <w:t>, is meant to “provide investments that will most efficiently achieve long-term agricultural productivity increases through improved infrastructure, vision, and accountability.”</w:t>
      </w:r>
      <w:r w:rsidRPr="005D4341">
        <w:rPr>
          <w:rStyle w:val="EndnoteReference"/>
          <w:rFonts w:asciiTheme="majorHAnsi" w:hAnsiTheme="majorHAnsi"/>
          <w:color w:val="333333" w:themeColor="background1"/>
        </w:rPr>
        <w:endnoteReference w:id="276"/>
      </w:r>
      <w:r w:rsidRPr="005D4341">
        <w:rPr>
          <w:rFonts w:asciiTheme="majorHAnsi" w:hAnsiTheme="majorHAnsi"/>
          <w:color w:val="333333" w:themeColor="background1"/>
        </w:rPr>
        <w:br/>
      </w:r>
    </w:p>
    <w:p w14:paraId="07C9C10C" w14:textId="77777777" w:rsidR="00B65A50" w:rsidRPr="00F041AD" w:rsidRDefault="00B65A50" w:rsidP="007C2FA5">
      <w:pPr>
        <w:pStyle w:val="5BodyText"/>
        <w:rPr>
          <w:b/>
          <w:i/>
          <w:color w:val="333333" w:themeColor="background1"/>
        </w:rPr>
      </w:pPr>
      <w:r w:rsidRPr="00F041AD">
        <w:rPr>
          <w:b/>
          <w:i/>
          <w:color w:val="333333" w:themeColor="background1"/>
        </w:rPr>
        <w:t>Other related resources</w:t>
      </w:r>
    </w:p>
    <w:p w14:paraId="58FD5936" w14:textId="77777777" w:rsidR="00B65A50" w:rsidRPr="00F041AD" w:rsidRDefault="00B65A50" w:rsidP="00934BF8">
      <w:pPr>
        <w:pStyle w:val="5BodyText"/>
        <w:numPr>
          <w:ilvl w:val="0"/>
          <w:numId w:val="146"/>
        </w:numPr>
        <w:rPr>
          <w:rFonts w:asciiTheme="majorHAnsi" w:hAnsiTheme="majorHAnsi"/>
          <w:color w:val="333333" w:themeColor="background1"/>
        </w:rPr>
      </w:pPr>
      <w:r w:rsidRPr="00F041AD">
        <w:rPr>
          <w:rFonts w:asciiTheme="majorHAnsi" w:hAnsiTheme="majorHAnsi"/>
          <w:color w:val="333333" w:themeColor="background1"/>
        </w:rPr>
        <w:t xml:space="preserve">The </w:t>
      </w:r>
      <w:hyperlink r:id="rId209" w:history="1">
        <w:r w:rsidRPr="00F041AD">
          <w:rPr>
            <w:rStyle w:val="Hyperlink"/>
            <w:rFonts w:asciiTheme="majorHAnsi" w:hAnsiTheme="majorHAnsi"/>
            <w:color w:val="333333" w:themeColor="background1"/>
          </w:rPr>
          <w:t>Department of Energy, Bioenergy Technology Office</w:t>
        </w:r>
      </w:hyperlink>
      <w:r w:rsidRPr="00F041AD">
        <w:rPr>
          <w:rFonts w:asciiTheme="majorHAnsi" w:hAnsiTheme="majorHAnsi"/>
          <w:color w:val="333333" w:themeColor="background1"/>
        </w:rPr>
        <w:t xml:space="preserve"> </w:t>
      </w:r>
      <w:bookmarkStart w:id="248" w:name="h.1664s55" w:colFirst="0" w:colLast="0"/>
      <w:bookmarkStart w:id="249" w:name="h.3q5sasy" w:colFirst="0" w:colLast="0"/>
      <w:bookmarkEnd w:id="248"/>
      <w:bookmarkEnd w:id="249"/>
      <w:r w:rsidRPr="00F041AD">
        <w:rPr>
          <w:rFonts w:asciiTheme="majorHAnsi" w:hAnsiTheme="majorHAnsi"/>
          <w:color w:val="333333" w:themeColor="background1"/>
        </w:rPr>
        <w:t>establishes partnerships to demonstrate advanced biofuel technologies.</w:t>
      </w:r>
      <w:r w:rsidRPr="00F041AD">
        <w:rPr>
          <w:rStyle w:val="EndnoteReference"/>
          <w:rFonts w:asciiTheme="majorHAnsi" w:hAnsiTheme="majorHAnsi"/>
          <w:color w:val="333333" w:themeColor="background1"/>
        </w:rPr>
        <w:endnoteReference w:id="277"/>
      </w:r>
    </w:p>
    <w:p w14:paraId="0A544B7B" w14:textId="77777777" w:rsidR="00B65A50" w:rsidRPr="00F041AD" w:rsidRDefault="00B65A50" w:rsidP="00627DFC">
      <w:pPr>
        <w:pStyle w:val="5BodyText"/>
        <w:rPr>
          <w:rFonts w:asciiTheme="majorHAnsi" w:hAnsiTheme="majorHAnsi"/>
          <w:color w:val="333333" w:themeColor="background1"/>
        </w:rPr>
      </w:pPr>
    </w:p>
    <w:p w14:paraId="5EE05F82" w14:textId="77777777" w:rsidR="00B65A50" w:rsidRPr="00F041AD" w:rsidRDefault="00B65A50" w:rsidP="00934BF8">
      <w:pPr>
        <w:pStyle w:val="5BodyText"/>
        <w:numPr>
          <w:ilvl w:val="0"/>
          <w:numId w:val="146"/>
        </w:numPr>
        <w:rPr>
          <w:rFonts w:asciiTheme="majorHAnsi" w:hAnsiTheme="majorHAnsi"/>
          <w:color w:val="333333" w:themeColor="background1"/>
        </w:rPr>
      </w:pPr>
      <w:bookmarkStart w:id="250" w:name="h.25b2l0r" w:colFirst="0" w:colLast="0"/>
      <w:bookmarkEnd w:id="250"/>
      <w:r w:rsidRPr="00F041AD">
        <w:rPr>
          <w:rFonts w:asciiTheme="majorHAnsi" w:hAnsiTheme="majorHAnsi"/>
          <w:color w:val="333333" w:themeColor="background1"/>
        </w:rPr>
        <w:t xml:space="preserve">The </w:t>
      </w:r>
      <w:hyperlink r:id="rId210">
        <w:r w:rsidRPr="00F041AD">
          <w:rPr>
            <w:rStyle w:val="Hyperlink"/>
            <w:rFonts w:asciiTheme="majorHAnsi" w:hAnsiTheme="majorHAnsi"/>
            <w:color w:val="333333" w:themeColor="background1"/>
          </w:rPr>
          <w:t xml:space="preserve">United States Department of Agriculture, Rural Development </w:t>
        </w:r>
      </w:hyperlink>
      <w:r w:rsidRPr="00F041AD">
        <w:rPr>
          <w:rFonts w:asciiTheme="majorHAnsi" w:hAnsiTheme="majorHAnsi"/>
          <w:color w:val="333333" w:themeColor="background1"/>
        </w:rPr>
        <w:t>focuses on economic development for rural areas, including with biofuel-focused programs.</w:t>
      </w:r>
      <w:r w:rsidRPr="00F041AD">
        <w:rPr>
          <w:rStyle w:val="EndnoteReference"/>
          <w:rFonts w:asciiTheme="majorHAnsi" w:hAnsiTheme="majorHAnsi"/>
          <w:color w:val="333333" w:themeColor="background1"/>
        </w:rPr>
        <w:endnoteReference w:id="278"/>
      </w:r>
    </w:p>
    <w:p w14:paraId="20C0F753" w14:textId="77777777" w:rsidR="00B65A50" w:rsidRPr="00F041AD" w:rsidRDefault="00B65A50" w:rsidP="007C2FA5">
      <w:pPr>
        <w:pStyle w:val="5BodyText"/>
        <w:rPr>
          <w:b/>
          <w:i/>
          <w:color w:val="333333" w:themeColor="background1"/>
        </w:rPr>
      </w:pPr>
    </w:p>
    <w:p w14:paraId="03952902" w14:textId="7087B8C0" w:rsidR="00B65A50" w:rsidRPr="00F041AD" w:rsidRDefault="0053594C" w:rsidP="008B39AC">
      <w:pPr>
        <w:pStyle w:val="StrategyName"/>
      </w:pPr>
      <w:bookmarkStart w:id="251" w:name="_Toc322961655"/>
      <w:bookmarkStart w:id="252" w:name="_Toc322962052"/>
      <w:bookmarkStart w:id="253" w:name="_Toc322962239"/>
      <w:r>
        <w:t>D2</w:t>
      </w:r>
      <w:r w:rsidR="00100FA0" w:rsidRPr="00F041AD">
        <w:t xml:space="preserve">. </w:t>
      </w:r>
      <w:r w:rsidR="00B65A50" w:rsidRPr="00F041AD">
        <w:t>Capture organic feedstocks through anaerobic digestion</w:t>
      </w:r>
      <w:bookmarkEnd w:id="251"/>
      <w:bookmarkEnd w:id="252"/>
      <w:bookmarkEnd w:id="253"/>
    </w:p>
    <w:p w14:paraId="257AF67B" w14:textId="77777777" w:rsidR="00B65A50" w:rsidRPr="00F041AD" w:rsidRDefault="00B65A50" w:rsidP="007C2FA5">
      <w:pPr>
        <w:pStyle w:val="5BodyText"/>
        <w:rPr>
          <w:b/>
          <w:i/>
          <w:color w:val="333333" w:themeColor="background1"/>
        </w:rPr>
      </w:pPr>
    </w:p>
    <w:p w14:paraId="2FC527B1" w14:textId="77777777" w:rsidR="00B65A50" w:rsidRPr="00F041AD" w:rsidRDefault="00B65A50" w:rsidP="00371E84">
      <w:pPr>
        <w:pStyle w:val="5BodyText"/>
        <w:rPr>
          <w:b/>
          <w:i/>
          <w:color w:val="333333" w:themeColor="background1"/>
        </w:rPr>
      </w:pPr>
      <w:r w:rsidRPr="00F041AD">
        <w:rPr>
          <w:b/>
          <w:i/>
          <w:color w:val="333333" w:themeColor="background1"/>
        </w:rPr>
        <w:t>Strategy overview</w:t>
      </w:r>
    </w:p>
    <w:p w14:paraId="3EFE94B7" w14:textId="77777777" w:rsidR="00B65A50" w:rsidRPr="00F041AD" w:rsidRDefault="00B65A50" w:rsidP="00463B7B">
      <w:pPr>
        <w:pStyle w:val="5BodyText"/>
        <w:rPr>
          <w:color w:val="333333" w:themeColor="background1"/>
        </w:rPr>
      </w:pPr>
      <w:r w:rsidRPr="00F041AD">
        <w:rPr>
          <w:color w:val="333333" w:themeColor="background1"/>
        </w:rPr>
        <w:t>Anaerobic digestion (AD) captures methane and carbon dioxide (biogas) as organic material decomposes in an oxygen-free, heated environment. Biogas can be collected and burned directly as a source of electricity and/or heat or can be scrubbed of carbon dioxide to produce renewable natural gas, which can be compressed to provide a source of transportation fuel in vehicles designed or converted to run on natural gas.</w:t>
      </w:r>
    </w:p>
    <w:p w14:paraId="479C1376" w14:textId="77777777" w:rsidR="00B65A50" w:rsidRPr="00F041AD" w:rsidRDefault="00B65A50" w:rsidP="00463B7B">
      <w:pPr>
        <w:pStyle w:val="5BodyText"/>
        <w:rPr>
          <w:color w:val="333333" w:themeColor="background1"/>
        </w:rPr>
      </w:pPr>
    </w:p>
    <w:p w14:paraId="49A36DAF" w14:textId="3608F1CD" w:rsidR="00B65A50" w:rsidRPr="00F041AD" w:rsidRDefault="00B65A50" w:rsidP="00463B7B">
      <w:pPr>
        <w:pStyle w:val="5BodyText"/>
        <w:rPr>
          <w:color w:val="333333" w:themeColor="background1"/>
        </w:rPr>
      </w:pPr>
      <w:r w:rsidRPr="00F041AD">
        <w:rPr>
          <w:color w:val="333333" w:themeColor="background1"/>
        </w:rPr>
        <w:t xml:space="preserve">Anaerobic digestion has been an effective organic waste and wastewater management tool in wastewater treatment facilities for a number of years. As with biogas produced from closed landfills, large wastewater treatment plants produce the volume of biogas often needed to make power generation financially attractive. </w:t>
      </w:r>
    </w:p>
    <w:p w14:paraId="1DB3A7EC" w14:textId="77777777" w:rsidR="00B65A50" w:rsidRPr="00F041AD" w:rsidRDefault="00B65A50" w:rsidP="00463B7B">
      <w:pPr>
        <w:pStyle w:val="5BodyText"/>
        <w:rPr>
          <w:color w:val="333333" w:themeColor="background1"/>
        </w:rPr>
      </w:pPr>
    </w:p>
    <w:p w14:paraId="3990744A" w14:textId="04560576" w:rsidR="00B65A50" w:rsidRPr="00F041AD" w:rsidRDefault="00B65A50" w:rsidP="00463B7B">
      <w:pPr>
        <w:pStyle w:val="5BodyText"/>
        <w:rPr>
          <w:b/>
          <w:i/>
          <w:color w:val="333333" w:themeColor="background1"/>
        </w:rPr>
      </w:pPr>
      <w:r w:rsidRPr="00F041AD">
        <w:rPr>
          <w:color w:val="333333" w:themeColor="background1"/>
        </w:rPr>
        <w:t xml:space="preserve">Although sometimes driven </w:t>
      </w:r>
      <w:r w:rsidR="000B746F">
        <w:rPr>
          <w:color w:val="333333" w:themeColor="background1"/>
        </w:rPr>
        <w:t xml:space="preserve">in part </w:t>
      </w:r>
      <w:r w:rsidRPr="00F041AD">
        <w:rPr>
          <w:color w:val="333333" w:themeColor="background1"/>
        </w:rPr>
        <w:t>by a need to meet water quality discharge standards, using biogas to replace natural gas for processing heat has proven cost effective for a number of food processing facilities in the state</w:t>
      </w:r>
      <w:r w:rsidR="000B746F" w:rsidRPr="00F041AD">
        <w:rPr>
          <w:rStyle w:val="EndnoteReference"/>
          <w:rFonts w:asciiTheme="majorHAnsi" w:hAnsiTheme="majorHAnsi"/>
          <w:color w:val="333333" w:themeColor="background1"/>
        </w:rPr>
        <w:endnoteReference w:id="279"/>
      </w:r>
      <w:r w:rsidR="000B746F">
        <w:rPr>
          <w:color w:val="333333" w:themeColor="background1"/>
        </w:rPr>
        <w:t xml:space="preserve"> </w:t>
      </w:r>
      <w:r w:rsidR="000B746F" w:rsidRPr="00F041AD">
        <w:rPr>
          <w:rStyle w:val="EndnoteReference"/>
          <w:rFonts w:asciiTheme="majorHAnsi" w:hAnsiTheme="majorHAnsi"/>
          <w:color w:val="333333" w:themeColor="background1"/>
        </w:rPr>
        <w:endnoteReference w:id="280"/>
      </w:r>
      <w:r w:rsidRPr="00F041AD">
        <w:rPr>
          <w:color w:val="333333" w:themeColor="background1"/>
        </w:rPr>
        <w:t xml:space="preserve">. However, for small, on-farm biogas-to-electricity projects, the cost of cleaning biogas as needed for use in generators coupled with comparatively low price paid by electric utilities for their power has limited adoption.  The following actions align with the need to make widespread use of biogas more cost effective.  They focus on the potential for producing biogas with anaerobic digestion of organic waste feedstocks , </w:t>
      </w:r>
      <w:r w:rsidRPr="00F041AD">
        <w:rPr>
          <w:color w:val="333333" w:themeColor="background1"/>
        </w:rPr>
        <w:lastRenderedPageBreak/>
        <w:t>including crop residues, manure, food processing residues, and municipal solid waste, to unlock the significant potential for AD with biogas recovery in Minnesota.</w:t>
      </w:r>
    </w:p>
    <w:p w14:paraId="2E63A004" w14:textId="77777777" w:rsidR="00B65A50" w:rsidRPr="00F041AD" w:rsidRDefault="00B65A50" w:rsidP="00371E84">
      <w:pPr>
        <w:pStyle w:val="5BodyText"/>
        <w:rPr>
          <w:b/>
          <w:i/>
          <w:color w:val="333333" w:themeColor="background1"/>
        </w:rPr>
      </w:pPr>
    </w:p>
    <w:p w14:paraId="75C9FD31" w14:textId="77777777" w:rsidR="00B65A50" w:rsidRPr="00F041AD" w:rsidRDefault="00B65A50" w:rsidP="00371E84">
      <w:pPr>
        <w:pStyle w:val="5BodyText"/>
        <w:rPr>
          <w:b/>
          <w:i/>
          <w:color w:val="333333" w:themeColor="background1"/>
        </w:rPr>
      </w:pPr>
      <w:r w:rsidRPr="00F041AD">
        <w:rPr>
          <w:b/>
          <w:i/>
          <w:color w:val="333333" w:themeColor="background1"/>
        </w:rPr>
        <w:t>Specific actions for strategy implementation</w:t>
      </w:r>
    </w:p>
    <w:p w14:paraId="6D6147E7" w14:textId="037E2D26" w:rsidR="00B65A50" w:rsidRPr="00F041AD" w:rsidRDefault="00B65A50" w:rsidP="00934BF8">
      <w:pPr>
        <w:pStyle w:val="5BodyText"/>
        <w:numPr>
          <w:ilvl w:val="0"/>
          <w:numId w:val="147"/>
        </w:numPr>
        <w:rPr>
          <w:rFonts w:asciiTheme="majorHAnsi" w:hAnsiTheme="majorHAnsi"/>
          <w:color w:val="333333" w:themeColor="background1"/>
          <w:szCs w:val="20"/>
        </w:rPr>
      </w:pPr>
      <w:r w:rsidRPr="00F041AD">
        <w:rPr>
          <w:rFonts w:asciiTheme="majorHAnsi" w:hAnsiTheme="majorHAnsi"/>
          <w:b/>
          <w:color w:val="333333" w:themeColor="background1"/>
          <w:szCs w:val="20"/>
        </w:rPr>
        <w:t>Reset the conversation on anaerobic digestion for state agencies, financiers, and potential and existing project owners.</w:t>
      </w: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br/>
        <w:t xml:space="preserve">Most anaerobic digestion activity in Minnesota has focused on feedstocks from dairy manure or </w:t>
      </w:r>
      <w:proofErr w:type="spellStart"/>
      <w:r w:rsidRPr="00F041AD">
        <w:rPr>
          <w:rFonts w:asciiTheme="majorHAnsi" w:hAnsiTheme="majorHAnsi"/>
          <w:color w:val="333333" w:themeColor="background1"/>
          <w:szCs w:val="20"/>
        </w:rPr>
        <w:t>biosolids</w:t>
      </w:r>
      <w:proofErr w:type="spellEnd"/>
      <w:r w:rsidRPr="00F041AD">
        <w:rPr>
          <w:rFonts w:asciiTheme="majorHAnsi" w:hAnsiTheme="majorHAnsi"/>
          <w:color w:val="333333" w:themeColor="background1"/>
          <w:szCs w:val="20"/>
        </w:rPr>
        <w:t xml:space="preserve"> in wastewater. End uses have focused on biogas for electricity generation and process heating fuel at food processing plants. Since these have been the dominant development models for these projects to date, there are misconceptions about the variety of organics available from multiple feedstocks and biogas utilization options available in the state. There is a need to develop the full value proposition for promoting anaerobic digestion projects, including:</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t>- Educating stakeholders on the scale of the resource in the state from multiple feedstock sources available to maximize gas production</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t>- Documenting and educating the public about the economic impact on jobs and investment, in addition to the environmental benefits of AD</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t>- Quantifying the market premium available for using biogas as a transportation fuel (</w:t>
      </w:r>
      <w:proofErr w:type="spellStart"/>
      <w:r w:rsidRPr="00F041AD">
        <w:rPr>
          <w:rFonts w:asciiTheme="majorHAnsi" w:hAnsiTheme="majorHAnsi"/>
          <w:color w:val="333333" w:themeColor="background1"/>
          <w:szCs w:val="20"/>
        </w:rPr>
        <w:t>bioCNG</w:t>
      </w:r>
      <w:proofErr w:type="spellEnd"/>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t>- Developing a set of success stories/case studies on anaerobic digestion at the municipal, agricultural, and industrial scales; correlate out-of-state examples to in-state opportunities that provide examples of economically successful implementation so the technology and the market achieve long-term financial and technical success.</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t>- Engaging project financiers in a dialogue to identify what needs to be in place to help enable project investment. A dialogue will need to occur for three different common project configurations: food and agriculture, landfills, and wastewater treatment facilities, each with different financing limitations.</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r>
      <w:r w:rsidRPr="00F041AD">
        <w:rPr>
          <w:rFonts w:asciiTheme="majorHAnsi" w:hAnsiTheme="majorHAnsi"/>
          <w:b/>
          <w:color w:val="333333" w:themeColor="background1"/>
          <w:szCs w:val="20"/>
        </w:rPr>
        <w:t>Champions</w:t>
      </w:r>
      <w:r w:rsidR="00E426AC" w:rsidRPr="00F041AD">
        <w:rPr>
          <w:rFonts w:asciiTheme="majorHAnsi" w:hAnsiTheme="majorHAnsi"/>
          <w:b/>
          <w:color w:val="333333" w:themeColor="background1"/>
          <w:szCs w:val="20"/>
        </w:rPr>
        <w:t>/Key Participants</w:t>
      </w:r>
      <w:r w:rsidRPr="00F041AD">
        <w:rPr>
          <w:rFonts w:asciiTheme="majorHAnsi" w:hAnsiTheme="majorHAnsi"/>
          <w:color w:val="333333" w:themeColor="background1"/>
          <w:szCs w:val="20"/>
        </w:rPr>
        <w:t xml:space="preserve">: </w:t>
      </w:r>
      <w:r w:rsidR="00E426AC" w:rsidRPr="00F041AD">
        <w:rPr>
          <w:rFonts w:asciiTheme="majorHAnsi" w:hAnsiTheme="majorHAnsi"/>
          <w:color w:val="333333" w:themeColor="background1"/>
          <w:szCs w:val="20"/>
        </w:rPr>
        <w:br/>
        <w:t xml:space="preserve">- </w:t>
      </w:r>
      <w:proofErr w:type="spellStart"/>
      <w:r w:rsidRPr="00F041AD">
        <w:rPr>
          <w:rFonts w:asciiTheme="majorHAnsi" w:hAnsiTheme="majorHAnsi"/>
          <w:color w:val="333333" w:themeColor="background1"/>
          <w:szCs w:val="20"/>
        </w:rPr>
        <w:t>Wenck</w:t>
      </w:r>
      <w:proofErr w:type="spellEnd"/>
      <w:r w:rsidRPr="00F041AD">
        <w:rPr>
          <w:rFonts w:asciiTheme="majorHAnsi" w:hAnsiTheme="majorHAnsi"/>
          <w:color w:val="333333" w:themeColor="background1"/>
          <w:szCs w:val="20"/>
        </w:rPr>
        <w:t xml:space="preserve"> Associates</w:t>
      </w:r>
      <w:r w:rsidRPr="00F041AD">
        <w:rPr>
          <w:rFonts w:asciiTheme="majorHAnsi" w:hAnsiTheme="majorHAnsi"/>
          <w:color w:val="333333" w:themeColor="background1"/>
          <w:szCs w:val="20"/>
        </w:rPr>
        <w:br/>
      </w:r>
      <w:r w:rsidR="00E426AC"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t>Minne</w:t>
      </w:r>
      <w:r w:rsidR="00E426AC" w:rsidRPr="00F041AD">
        <w:rPr>
          <w:rFonts w:asciiTheme="majorHAnsi" w:hAnsiTheme="majorHAnsi"/>
          <w:color w:val="333333" w:themeColor="background1"/>
          <w:szCs w:val="20"/>
        </w:rPr>
        <w:t>sota Department of Agriculture</w:t>
      </w:r>
      <w:r w:rsidR="00E426AC" w:rsidRPr="00F041AD">
        <w:rPr>
          <w:rFonts w:asciiTheme="majorHAnsi" w:hAnsiTheme="majorHAnsi"/>
          <w:color w:val="333333" w:themeColor="background1"/>
          <w:szCs w:val="20"/>
        </w:rPr>
        <w:br/>
        <w:t>- Bioeconomy Coalition of Minnesota</w:t>
      </w:r>
      <w:r w:rsidR="00E426AC" w:rsidRPr="00F041AD">
        <w:rPr>
          <w:rFonts w:asciiTheme="majorHAnsi" w:hAnsiTheme="majorHAnsi"/>
          <w:color w:val="333333" w:themeColor="background1"/>
          <w:szCs w:val="20"/>
        </w:rPr>
        <w:br/>
      </w:r>
      <w:r w:rsidR="00E426AC" w:rsidRPr="00F041AD">
        <w:rPr>
          <w:rFonts w:asciiTheme="majorHAnsi" w:hAnsiTheme="majorHAnsi"/>
          <w:color w:val="333333" w:themeColor="background1"/>
          <w:szCs w:val="20"/>
        </w:rPr>
        <w:lastRenderedPageBreak/>
        <w:t>- Metropolitan Council</w:t>
      </w:r>
      <w:r w:rsidR="00E426AC" w:rsidRPr="00F041AD">
        <w:rPr>
          <w:rFonts w:asciiTheme="majorHAnsi" w:hAnsiTheme="majorHAnsi"/>
          <w:color w:val="333333" w:themeColor="background1"/>
          <w:szCs w:val="20"/>
        </w:rPr>
        <w:br/>
        <w:t xml:space="preserve">- </w:t>
      </w:r>
      <w:r w:rsidRPr="00F041AD">
        <w:rPr>
          <w:rFonts w:asciiTheme="majorHAnsi" w:hAnsiTheme="majorHAnsi"/>
          <w:color w:val="333333" w:themeColor="background1"/>
          <w:szCs w:val="20"/>
        </w:rPr>
        <w:t>Solid Waste Management Coordinating Board</w:t>
      </w:r>
    </w:p>
    <w:p w14:paraId="481056B0" w14:textId="77777777" w:rsidR="00B65A50" w:rsidRPr="00F041AD" w:rsidRDefault="00B65A50" w:rsidP="009F3F37">
      <w:pPr>
        <w:pStyle w:val="5BodyText"/>
        <w:rPr>
          <w:rFonts w:asciiTheme="majorHAnsi" w:hAnsiTheme="majorHAnsi"/>
          <w:color w:val="333333" w:themeColor="background1"/>
          <w:szCs w:val="20"/>
        </w:rPr>
      </w:pPr>
    </w:p>
    <w:p w14:paraId="35DA7BD3" w14:textId="18CAC579" w:rsidR="00B65A50" w:rsidRPr="00F041AD" w:rsidRDefault="00B65A50" w:rsidP="00934BF8">
      <w:pPr>
        <w:pStyle w:val="5BodyText"/>
        <w:numPr>
          <w:ilvl w:val="0"/>
          <w:numId w:val="147"/>
        </w:numPr>
        <w:rPr>
          <w:rFonts w:asciiTheme="majorHAnsi" w:hAnsiTheme="majorHAnsi"/>
          <w:color w:val="333333" w:themeColor="background1"/>
          <w:szCs w:val="20"/>
        </w:rPr>
      </w:pPr>
      <w:r w:rsidRPr="00F041AD">
        <w:rPr>
          <w:rFonts w:asciiTheme="majorHAnsi" w:hAnsiTheme="majorHAnsi"/>
          <w:b/>
          <w:color w:val="333333" w:themeColor="background1"/>
          <w:szCs w:val="20"/>
        </w:rPr>
        <w:t xml:space="preserve">Incorporate anaerobic digestion into the Minnesota solid waste hierarchy. </w:t>
      </w: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br/>
        <w:t xml:space="preserve">Minnesota uses a waste management hierarchy to guide waste management decisions with the lowest environmental impact. Counties, who are primarily responsible for directing solid waste management activities, receive state block grants, but can only be used for activities outlined in the waste management hierarchy. Anaerobic digestion, which uses </w:t>
      </w:r>
      <w:proofErr w:type="spellStart"/>
      <w:r w:rsidRPr="00F041AD">
        <w:rPr>
          <w:rFonts w:asciiTheme="majorHAnsi" w:hAnsiTheme="majorHAnsi"/>
          <w:color w:val="333333" w:themeColor="background1"/>
          <w:szCs w:val="20"/>
        </w:rPr>
        <w:t>biosolids</w:t>
      </w:r>
      <w:proofErr w:type="spellEnd"/>
      <w:r w:rsidRPr="00F041AD">
        <w:rPr>
          <w:rFonts w:asciiTheme="majorHAnsi" w:hAnsiTheme="majorHAnsi"/>
          <w:color w:val="333333" w:themeColor="background1"/>
          <w:szCs w:val="20"/>
        </w:rPr>
        <w:t xml:space="preserve"> “waste” to make a transportable, renewable fuel (different from combustion of MSW) is not included in the hierarchy and as a result can limit the potential of anaerobic digestion projects focused on treating the organic portion of municipal solid waste. To address this, counties can take several actions, e.g. develop recycling strategies that comply with increased state requirements for landfill diversion by separating out organics from recycling. </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r>
      <w:r w:rsidRPr="00F041AD">
        <w:rPr>
          <w:rFonts w:asciiTheme="majorHAnsi" w:hAnsiTheme="majorHAnsi"/>
          <w:b/>
          <w:color w:val="333333" w:themeColor="background1"/>
          <w:szCs w:val="20"/>
        </w:rPr>
        <w:t xml:space="preserve">Champions: </w:t>
      </w:r>
      <w:r w:rsidRPr="00F041AD">
        <w:rPr>
          <w:rFonts w:asciiTheme="majorHAnsi" w:hAnsiTheme="majorHAnsi"/>
          <w:color w:val="333333" w:themeColor="background1"/>
          <w:szCs w:val="20"/>
        </w:rPr>
        <w:t>MPCA</w:t>
      </w:r>
      <w:r w:rsidRPr="00F041AD">
        <w:rPr>
          <w:rFonts w:asciiTheme="majorHAnsi" w:hAnsiTheme="majorHAnsi"/>
          <w:b/>
          <w:color w:val="333333" w:themeColor="background1"/>
          <w:szCs w:val="20"/>
        </w:rPr>
        <w:br/>
        <w:t xml:space="preserve">Key Participants: </w:t>
      </w: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br/>
      </w:r>
    </w:p>
    <w:p w14:paraId="6103377C" w14:textId="0CA7D542" w:rsidR="00B65A50" w:rsidRPr="00F041AD" w:rsidRDefault="00B65A50" w:rsidP="00934BF8">
      <w:pPr>
        <w:pStyle w:val="5BodyText"/>
        <w:numPr>
          <w:ilvl w:val="0"/>
          <w:numId w:val="147"/>
        </w:numPr>
        <w:rPr>
          <w:rFonts w:asciiTheme="majorHAnsi" w:hAnsiTheme="majorHAnsi"/>
          <w:b/>
          <w:i/>
          <w:color w:val="333333" w:themeColor="background1"/>
          <w:szCs w:val="20"/>
        </w:rPr>
      </w:pPr>
      <w:r w:rsidRPr="00F041AD">
        <w:rPr>
          <w:rFonts w:asciiTheme="majorHAnsi" w:hAnsiTheme="majorHAnsi"/>
          <w:b/>
          <w:color w:val="333333" w:themeColor="background1"/>
          <w:szCs w:val="20"/>
        </w:rPr>
        <w:t>Establish a public-private partnership to demonstrate a replicable regional AD project with biogas utilization other than electricity generation</w:t>
      </w:r>
      <w:r w:rsidRPr="00F041AD">
        <w:rPr>
          <w:rFonts w:asciiTheme="majorHAnsi" w:hAnsiTheme="majorHAnsi"/>
          <w:color w:val="333333" w:themeColor="background1"/>
          <w:szCs w:val="20"/>
        </w:rPr>
        <w:t>.</w:t>
      </w:r>
      <w:r w:rsidRPr="00F041AD">
        <w:rPr>
          <w:rFonts w:asciiTheme="majorHAnsi" w:hAnsiTheme="majorHAnsi"/>
          <w:color w:val="333333" w:themeColor="background1"/>
          <w:szCs w:val="20"/>
        </w:rPr>
        <w:br/>
        <w:t xml:space="preserve">This project could partner with an alternative vehicle strategy in order to demonstrate a market opportunity for biobased compressed natural gas. This would provide a new market for AD projects, and make available a low-emissions source of energy for alternative fuel vehicles. Money from a public investment, specifically a grant fund, could go to achieving goals necessary for the industry to succeed without the grant fund. </w:t>
      </w:r>
      <w:r w:rsidRPr="00F041AD">
        <w:rPr>
          <w:rFonts w:asciiTheme="majorHAnsi" w:hAnsiTheme="majorHAnsi"/>
          <w:color w:val="333333" w:themeColor="background1"/>
          <w:szCs w:val="20"/>
        </w:rPr>
        <w:br/>
      </w:r>
      <w:r w:rsidRPr="00F041AD">
        <w:rPr>
          <w:rFonts w:asciiTheme="majorHAnsi" w:hAnsiTheme="majorHAnsi"/>
          <w:color w:val="333333" w:themeColor="background1"/>
          <w:szCs w:val="20"/>
        </w:rPr>
        <w:br/>
      </w:r>
      <w:r w:rsidRPr="00F041AD">
        <w:rPr>
          <w:rFonts w:asciiTheme="majorHAnsi" w:hAnsiTheme="majorHAnsi"/>
          <w:b/>
          <w:color w:val="333333" w:themeColor="background1"/>
          <w:szCs w:val="20"/>
        </w:rPr>
        <w:t>Champions</w:t>
      </w:r>
      <w:r w:rsidRPr="00F041AD">
        <w:rPr>
          <w:rFonts w:asciiTheme="majorHAnsi" w:hAnsiTheme="majorHAnsi"/>
          <w:color w:val="333333" w:themeColor="background1"/>
          <w:szCs w:val="20"/>
        </w:rPr>
        <w:t xml:space="preserve"> / </w:t>
      </w:r>
      <w:r w:rsidRPr="00F041AD">
        <w:rPr>
          <w:rFonts w:asciiTheme="majorHAnsi" w:hAnsiTheme="majorHAnsi"/>
          <w:b/>
          <w:color w:val="333333" w:themeColor="background1"/>
          <w:szCs w:val="20"/>
        </w:rPr>
        <w:t>Key Participants</w:t>
      </w:r>
      <w:r w:rsidRPr="00F041AD">
        <w:rPr>
          <w:rFonts w:asciiTheme="majorHAnsi" w:hAnsiTheme="majorHAnsi"/>
          <w:color w:val="333333" w:themeColor="background1"/>
          <w:szCs w:val="20"/>
        </w:rPr>
        <w:t>:</w:t>
      </w:r>
      <w:r w:rsidRPr="00F041AD">
        <w:rPr>
          <w:rFonts w:asciiTheme="majorHAnsi" w:hAnsiTheme="majorHAnsi"/>
          <w:color w:val="333333" w:themeColor="background1"/>
          <w:szCs w:val="20"/>
        </w:rPr>
        <w:br/>
        <w:t xml:space="preserve">- The Minnesota Department of Agriculture may have a natural role as the program administrator. </w:t>
      </w:r>
      <w:r w:rsidRPr="00F041AD">
        <w:rPr>
          <w:rFonts w:asciiTheme="majorHAnsi" w:hAnsiTheme="majorHAnsi"/>
          <w:color w:val="333333" w:themeColor="background1"/>
          <w:szCs w:val="20"/>
        </w:rPr>
        <w:br/>
        <w:t xml:space="preserve">- Technology providers </w:t>
      </w:r>
      <w:r w:rsidR="00225A2C" w:rsidRPr="00F041AD">
        <w:rPr>
          <w:rFonts w:asciiTheme="majorHAnsi" w:hAnsiTheme="majorHAnsi"/>
          <w:color w:val="333333" w:themeColor="background1"/>
          <w:szCs w:val="20"/>
        </w:rPr>
        <w:t xml:space="preserve">and project developers </w:t>
      </w:r>
      <w:r w:rsidR="00225A2C" w:rsidRPr="00F041AD">
        <w:rPr>
          <w:rFonts w:asciiTheme="majorHAnsi" w:hAnsiTheme="majorHAnsi"/>
          <w:color w:val="333333" w:themeColor="background1"/>
          <w:szCs w:val="20"/>
        </w:rPr>
        <w:br/>
        <w:t>- Solid Waste Management Coordinating Board</w:t>
      </w:r>
      <w:r w:rsidRPr="00F041AD">
        <w:rPr>
          <w:rFonts w:asciiTheme="majorHAnsi" w:hAnsiTheme="majorHAnsi"/>
          <w:color w:val="333333" w:themeColor="background1"/>
          <w:szCs w:val="20"/>
        </w:rPr>
        <w:br/>
      </w:r>
    </w:p>
    <w:p w14:paraId="53748575" w14:textId="77777777" w:rsidR="00B65A50" w:rsidRPr="00F041AD" w:rsidRDefault="00B65A50" w:rsidP="00371E84">
      <w:pPr>
        <w:pStyle w:val="5BodyText"/>
        <w:rPr>
          <w:b/>
          <w:i/>
          <w:color w:val="333333" w:themeColor="background1"/>
        </w:rPr>
      </w:pPr>
      <w:r w:rsidRPr="00F041AD">
        <w:rPr>
          <w:b/>
          <w:i/>
          <w:color w:val="333333" w:themeColor="background1"/>
        </w:rPr>
        <w:t>Success factors</w:t>
      </w:r>
    </w:p>
    <w:p w14:paraId="4F5B6638" w14:textId="5C23FF16" w:rsidR="00B65A50" w:rsidRPr="00F041AD" w:rsidRDefault="00B65A50" w:rsidP="00934BF8">
      <w:pPr>
        <w:pStyle w:val="5BodyText"/>
        <w:numPr>
          <w:ilvl w:val="0"/>
          <w:numId w:val="148"/>
        </w:numPr>
        <w:rPr>
          <w:color w:val="333333" w:themeColor="background1"/>
        </w:rPr>
      </w:pPr>
      <w:r w:rsidRPr="00F041AD">
        <w:rPr>
          <w:color w:val="333333" w:themeColor="background1"/>
        </w:rPr>
        <w:t>Information on types and amounts of potential organic feedstocks for AD processing is more widely available in order to enable developers to identify project sites.</w:t>
      </w:r>
      <w:r w:rsidRPr="00F041AD">
        <w:rPr>
          <w:color w:val="333333" w:themeColor="background1"/>
        </w:rPr>
        <w:br/>
      </w:r>
    </w:p>
    <w:p w14:paraId="006D5900" w14:textId="77777777" w:rsidR="00B65A50" w:rsidRPr="00F041AD" w:rsidRDefault="00B65A50" w:rsidP="00934BF8">
      <w:pPr>
        <w:pStyle w:val="5BodyText"/>
        <w:numPr>
          <w:ilvl w:val="0"/>
          <w:numId w:val="148"/>
        </w:numPr>
        <w:rPr>
          <w:color w:val="333333" w:themeColor="background1"/>
        </w:rPr>
      </w:pPr>
      <w:r w:rsidRPr="00F041AD">
        <w:rPr>
          <w:color w:val="333333" w:themeColor="background1"/>
        </w:rPr>
        <w:lastRenderedPageBreak/>
        <w:t>Cost reductions for AD projects at food and agriculture operations must be explored and achieved in order to drive down payback periods and increase adoption.</w:t>
      </w:r>
      <w:r w:rsidRPr="00F041AD">
        <w:rPr>
          <w:color w:val="333333" w:themeColor="background1"/>
        </w:rPr>
        <w:br/>
      </w:r>
    </w:p>
    <w:p w14:paraId="7DFC02A1" w14:textId="77777777" w:rsidR="00B65A50" w:rsidRPr="00F041AD" w:rsidRDefault="00B65A50" w:rsidP="00934BF8">
      <w:pPr>
        <w:pStyle w:val="5BodyText"/>
        <w:numPr>
          <w:ilvl w:val="0"/>
          <w:numId w:val="148"/>
        </w:numPr>
        <w:rPr>
          <w:color w:val="333333" w:themeColor="background1"/>
        </w:rPr>
      </w:pPr>
      <w:r w:rsidRPr="00F041AD">
        <w:rPr>
          <w:color w:val="333333" w:themeColor="background1"/>
        </w:rPr>
        <w:t>A stable and reliable source of organic feedstocks is necessary for AD projects to operate most efficiently.</w:t>
      </w:r>
    </w:p>
    <w:p w14:paraId="3830CB8C" w14:textId="77777777" w:rsidR="00B65A50" w:rsidRPr="00F041AD" w:rsidRDefault="00B65A50" w:rsidP="00371E84">
      <w:pPr>
        <w:pStyle w:val="5BodyText"/>
        <w:rPr>
          <w:b/>
          <w:i/>
          <w:color w:val="333333" w:themeColor="background1"/>
        </w:rPr>
      </w:pPr>
    </w:p>
    <w:p w14:paraId="42FD7EDE" w14:textId="77777777" w:rsidR="00B65A50" w:rsidRPr="00F041AD" w:rsidRDefault="00B65A50" w:rsidP="00371E84">
      <w:pPr>
        <w:pStyle w:val="5BodyText"/>
        <w:rPr>
          <w:b/>
          <w:i/>
          <w:color w:val="333333" w:themeColor="background1"/>
        </w:rPr>
      </w:pPr>
      <w:r w:rsidRPr="00F041AD">
        <w:rPr>
          <w:b/>
          <w:i/>
          <w:color w:val="333333" w:themeColor="background1"/>
        </w:rPr>
        <w:t>Indicators of strategy success</w:t>
      </w:r>
    </w:p>
    <w:p w14:paraId="107B1853" w14:textId="77777777" w:rsidR="00B65A50" w:rsidRPr="00F041AD" w:rsidRDefault="00B65A50" w:rsidP="00B71FCA">
      <w:pPr>
        <w:pStyle w:val="5BodyText"/>
        <w:numPr>
          <w:ilvl w:val="0"/>
          <w:numId w:val="149"/>
        </w:numPr>
        <w:rPr>
          <w:color w:val="333333" w:themeColor="background1"/>
        </w:rPr>
      </w:pPr>
      <w:r w:rsidRPr="00F041AD">
        <w:rPr>
          <w:color w:val="333333" w:themeColor="background1"/>
        </w:rPr>
        <w:t xml:space="preserve">Annual </w:t>
      </w:r>
      <w:proofErr w:type="spellStart"/>
      <w:r w:rsidRPr="00F041AD">
        <w:rPr>
          <w:color w:val="333333" w:themeColor="background1"/>
        </w:rPr>
        <w:t>MMbtus</w:t>
      </w:r>
      <w:proofErr w:type="spellEnd"/>
      <w:r w:rsidRPr="00F041AD">
        <w:rPr>
          <w:color w:val="333333" w:themeColor="background1"/>
        </w:rPr>
        <w:t xml:space="preserve"> of biogas produced and converted for useful energy. </w:t>
      </w:r>
    </w:p>
    <w:p w14:paraId="5D60E96A" w14:textId="77777777" w:rsidR="00B65A50" w:rsidRPr="00F041AD" w:rsidRDefault="00B65A50" w:rsidP="00B71FCA">
      <w:pPr>
        <w:pStyle w:val="5BodyText"/>
        <w:numPr>
          <w:ilvl w:val="0"/>
          <w:numId w:val="149"/>
        </w:numPr>
        <w:rPr>
          <w:color w:val="333333" w:themeColor="background1"/>
        </w:rPr>
      </w:pPr>
      <w:r w:rsidRPr="00F041AD">
        <w:rPr>
          <w:color w:val="333333" w:themeColor="background1"/>
        </w:rPr>
        <w:t xml:space="preserve">Annual wet tons of organic material treated in AD </w:t>
      </w:r>
    </w:p>
    <w:p w14:paraId="7563CB4C" w14:textId="7372EA34" w:rsidR="00B65A50" w:rsidRPr="00F041AD" w:rsidRDefault="00B65A50" w:rsidP="00B71FCA">
      <w:pPr>
        <w:pStyle w:val="5BodyText"/>
        <w:numPr>
          <w:ilvl w:val="0"/>
          <w:numId w:val="149"/>
        </w:numPr>
        <w:rPr>
          <w:color w:val="333333" w:themeColor="background1"/>
        </w:rPr>
      </w:pPr>
      <w:r w:rsidRPr="00F041AD">
        <w:rPr>
          <w:color w:val="333333" w:themeColor="background1"/>
        </w:rPr>
        <w:t xml:space="preserve">Private and public investment dollars for individual projects </w:t>
      </w:r>
    </w:p>
    <w:p w14:paraId="11F8EFA8" w14:textId="77777777" w:rsidR="00B65A50" w:rsidRPr="00F041AD" w:rsidRDefault="00B65A50" w:rsidP="00371E84">
      <w:pPr>
        <w:pStyle w:val="5BodyText"/>
        <w:rPr>
          <w:b/>
          <w:i/>
          <w:color w:val="333333" w:themeColor="background1"/>
        </w:rPr>
      </w:pPr>
    </w:p>
    <w:p w14:paraId="160EADD1" w14:textId="77777777" w:rsidR="00B65A50" w:rsidRPr="00F041AD" w:rsidRDefault="00B65A50" w:rsidP="00371E84">
      <w:pPr>
        <w:pStyle w:val="5BodyText"/>
        <w:rPr>
          <w:b/>
          <w:i/>
          <w:color w:val="333333" w:themeColor="background1"/>
        </w:rPr>
      </w:pPr>
      <w:r w:rsidRPr="00F041AD">
        <w:rPr>
          <w:b/>
          <w:i/>
          <w:color w:val="333333" w:themeColor="background1"/>
        </w:rPr>
        <w:t>Cross-sector opportunities and synergies</w:t>
      </w:r>
    </w:p>
    <w:p w14:paraId="3100A9A8" w14:textId="77777777" w:rsidR="00B65A50" w:rsidRPr="00F041AD" w:rsidRDefault="00B65A50" w:rsidP="00B71FCA">
      <w:pPr>
        <w:pStyle w:val="5BodyText"/>
        <w:numPr>
          <w:ilvl w:val="0"/>
          <w:numId w:val="150"/>
        </w:numPr>
        <w:rPr>
          <w:color w:val="333333" w:themeColor="background1"/>
        </w:rPr>
      </w:pPr>
      <w:r w:rsidRPr="00F041AD">
        <w:rPr>
          <w:color w:val="333333" w:themeColor="background1"/>
        </w:rPr>
        <w:t xml:space="preserve">Biobased compressed natural gas is a potential fuel source for </w:t>
      </w:r>
      <w:r w:rsidRPr="00F041AD">
        <w:rPr>
          <w:b/>
          <w:color w:val="333333" w:themeColor="background1"/>
        </w:rPr>
        <w:t>alternative fuel vehicles</w:t>
      </w:r>
      <w:r w:rsidRPr="00F041AD">
        <w:rPr>
          <w:b/>
          <w:color w:val="333333" w:themeColor="background1"/>
        </w:rPr>
        <w:br/>
      </w:r>
    </w:p>
    <w:p w14:paraId="017952B3" w14:textId="4AE7DC93" w:rsidR="00B65A50" w:rsidRPr="00F041AD" w:rsidRDefault="00B65A50" w:rsidP="00B71FCA">
      <w:pPr>
        <w:pStyle w:val="5BodyText"/>
        <w:numPr>
          <w:ilvl w:val="0"/>
          <w:numId w:val="150"/>
        </w:numPr>
        <w:rPr>
          <w:color w:val="333333" w:themeColor="background1"/>
        </w:rPr>
      </w:pPr>
      <w:r w:rsidRPr="00F041AD">
        <w:rPr>
          <w:color w:val="333333" w:themeColor="background1"/>
        </w:rPr>
        <w:t xml:space="preserve">Biogas can be a primary fuel source for </w:t>
      </w:r>
      <w:r w:rsidRPr="00F041AD">
        <w:rPr>
          <w:b/>
          <w:color w:val="333333" w:themeColor="background1"/>
        </w:rPr>
        <w:t>combined heat and power</w:t>
      </w:r>
      <w:r w:rsidRPr="00F041AD">
        <w:rPr>
          <w:color w:val="333333" w:themeColor="background1"/>
        </w:rPr>
        <w:t xml:space="preserve"> and </w:t>
      </w:r>
      <w:r w:rsidRPr="00F041AD">
        <w:rPr>
          <w:b/>
          <w:color w:val="333333" w:themeColor="background1"/>
        </w:rPr>
        <w:t>thermal grid</w:t>
      </w:r>
      <w:r w:rsidRPr="00F041AD">
        <w:rPr>
          <w:color w:val="333333" w:themeColor="background1"/>
        </w:rPr>
        <w:t xml:space="preserve"> projects. </w:t>
      </w:r>
      <w:r w:rsidRPr="00F041AD">
        <w:rPr>
          <w:color w:val="333333" w:themeColor="background1"/>
        </w:rPr>
        <w:br/>
      </w:r>
    </w:p>
    <w:p w14:paraId="26664724" w14:textId="23C1D8CD" w:rsidR="00B65A50" w:rsidRPr="00F041AD" w:rsidRDefault="00B65A50" w:rsidP="00B71FCA">
      <w:pPr>
        <w:pStyle w:val="5BodyText"/>
        <w:numPr>
          <w:ilvl w:val="0"/>
          <w:numId w:val="150"/>
        </w:numPr>
        <w:rPr>
          <w:color w:val="333333" w:themeColor="background1"/>
        </w:rPr>
      </w:pPr>
      <w:r w:rsidRPr="00F041AD">
        <w:rPr>
          <w:color w:val="333333" w:themeColor="background1"/>
        </w:rPr>
        <w:t xml:space="preserve">Biogas-to-electricity projects may provide an opportunity for biogas to be used as transportation “fuel” for </w:t>
      </w:r>
      <w:r w:rsidRPr="00F041AD">
        <w:rPr>
          <w:b/>
          <w:color w:val="333333" w:themeColor="background1"/>
        </w:rPr>
        <w:t>alternative fuel vehicles</w:t>
      </w:r>
      <w:r w:rsidRPr="00F041AD">
        <w:rPr>
          <w:color w:val="333333" w:themeColor="background1"/>
        </w:rPr>
        <w:t xml:space="preserve"> and qualify to generate RINs.</w:t>
      </w:r>
      <w:r w:rsidRPr="00F041AD">
        <w:rPr>
          <w:color w:val="333333" w:themeColor="background1"/>
        </w:rPr>
        <w:br/>
      </w:r>
    </w:p>
    <w:p w14:paraId="3CC3E6B4" w14:textId="77777777" w:rsidR="00B65A50" w:rsidRPr="00F041AD" w:rsidRDefault="00B65A50" w:rsidP="00B71FCA">
      <w:pPr>
        <w:pStyle w:val="5BodyText"/>
        <w:numPr>
          <w:ilvl w:val="0"/>
          <w:numId w:val="150"/>
        </w:numPr>
        <w:rPr>
          <w:color w:val="333333" w:themeColor="background1"/>
        </w:rPr>
      </w:pPr>
      <w:r w:rsidRPr="00F041AD">
        <w:rPr>
          <w:color w:val="333333" w:themeColor="background1"/>
        </w:rPr>
        <w:t xml:space="preserve">A voluntary </w:t>
      </w:r>
      <w:r w:rsidRPr="00F041AD">
        <w:rPr>
          <w:b/>
          <w:color w:val="333333" w:themeColor="background1"/>
        </w:rPr>
        <w:t>utility green pricing program</w:t>
      </w:r>
      <w:r w:rsidRPr="00F041AD">
        <w:rPr>
          <w:color w:val="333333" w:themeColor="background1"/>
        </w:rPr>
        <w:t xml:space="preserve"> for renewable natural gas by natural gas utilities could help scale-up anaerobic digestion projects</w:t>
      </w:r>
    </w:p>
    <w:p w14:paraId="7E8B44B3" w14:textId="77777777" w:rsidR="00B65A50" w:rsidRPr="00F041AD" w:rsidRDefault="00B65A50" w:rsidP="00371E84">
      <w:pPr>
        <w:pStyle w:val="5BodyText"/>
        <w:rPr>
          <w:b/>
          <w:i/>
          <w:color w:val="333333" w:themeColor="background1"/>
        </w:rPr>
      </w:pPr>
    </w:p>
    <w:p w14:paraId="3CFD0841" w14:textId="77777777" w:rsidR="00B65A50" w:rsidRPr="00F041AD" w:rsidRDefault="00B65A50" w:rsidP="00371E84">
      <w:pPr>
        <w:pStyle w:val="5BodyText"/>
        <w:rPr>
          <w:b/>
          <w:i/>
          <w:color w:val="333333" w:themeColor="background1"/>
        </w:rPr>
      </w:pPr>
      <w:r w:rsidRPr="00F041AD">
        <w:rPr>
          <w:b/>
          <w:i/>
          <w:color w:val="333333" w:themeColor="background1"/>
        </w:rPr>
        <w:t>Ongoing Minnesota initiatives</w:t>
      </w:r>
    </w:p>
    <w:p w14:paraId="0C78102D" w14:textId="10CA23DA" w:rsidR="00B65A50" w:rsidRPr="00F041AD" w:rsidRDefault="00B65A50" w:rsidP="00B71FCA">
      <w:pPr>
        <w:pStyle w:val="5BodyText"/>
        <w:numPr>
          <w:ilvl w:val="0"/>
          <w:numId w:val="151"/>
        </w:numPr>
        <w:rPr>
          <w:rFonts w:asciiTheme="majorHAnsi" w:hAnsiTheme="majorHAnsi"/>
          <w:color w:val="333333" w:themeColor="background1"/>
        </w:rPr>
      </w:pPr>
      <w:r w:rsidRPr="00F041AD">
        <w:rPr>
          <w:rFonts w:asciiTheme="majorHAnsi" w:hAnsiTheme="majorHAnsi"/>
          <w:color w:val="333333" w:themeColor="background1"/>
        </w:rPr>
        <w:t xml:space="preserve">The </w:t>
      </w:r>
      <w:hyperlink r:id="rId211" w:history="1">
        <w:r w:rsidRPr="00F041AD">
          <w:rPr>
            <w:rStyle w:val="Hyperlink"/>
            <w:rFonts w:asciiTheme="majorHAnsi" w:hAnsiTheme="majorHAnsi"/>
            <w:color w:val="333333" w:themeColor="background1"/>
          </w:rPr>
          <w:t>Agricultural Utilization Resource Institute</w:t>
        </w:r>
      </w:hyperlink>
      <w:r w:rsidRPr="00F041AD">
        <w:rPr>
          <w:rFonts w:asciiTheme="majorHAnsi" w:hAnsiTheme="majorHAnsi"/>
          <w:color w:val="333333" w:themeColor="background1"/>
        </w:rPr>
        <w:t xml:space="preserve"> focuses on fostering “long-term economic benefit for Minnesota through value-added agricultural products,” and is involved with several bio-based fuel initiatives.</w:t>
      </w:r>
      <w:r w:rsidRPr="00F041AD">
        <w:rPr>
          <w:rFonts w:asciiTheme="majorHAnsi" w:hAnsiTheme="majorHAnsi"/>
          <w:color w:val="333333" w:themeColor="background1"/>
        </w:rPr>
        <w:br/>
      </w:r>
    </w:p>
    <w:p w14:paraId="4B18C77D" w14:textId="77777777" w:rsidR="00B65A50" w:rsidRPr="00F041AD" w:rsidRDefault="00B65A50" w:rsidP="00B71FCA">
      <w:pPr>
        <w:pStyle w:val="5BodyText"/>
        <w:numPr>
          <w:ilvl w:val="0"/>
          <w:numId w:val="151"/>
        </w:numPr>
        <w:rPr>
          <w:rFonts w:asciiTheme="majorHAnsi" w:hAnsiTheme="majorHAnsi"/>
          <w:color w:val="333333" w:themeColor="background1"/>
        </w:rPr>
      </w:pPr>
      <w:r w:rsidRPr="00F041AD">
        <w:rPr>
          <w:rFonts w:asciiTheme="majorHAnsi" w:hAnsiTheme="majorHAnsi"/>
          <w:color w:val="333333" w:themeColor="background1"/>
        </w:rPr>
        <w:t xml:space="preserve">The CSEO process examined establishing a </w:t>
      </w:r>
      <w:hyperlink r:id="rId212">
        <w:r w:rsidRPr="00F041AD">
          <w:rPr>
            <w:rFonts w:asciiTheme="majorHAnsi" w:hAnsiTheme="majorHAnsi"/>
            <w:color w:val="333333" w:themeColor="background1"/>
            <w:u w:val="single"/>
          </w:rPr>
          <w:t>renewable thermal goal and a renewable thermal incentive fund</w:t>
        </w:r>
      </w:hyperlink>
      <w:r w:rsidRPr="00F041AD">
        <w:rPr>
          <w:rFonts w:asciiTheme="majorHAnsi" w:hAnsiTheme="majorHAnsi"/>
          <w:color w:val="333333" w:themeColor="background1"/>
        </w:rPr>
        <w:t>.</w:t>
      </w:r>
      <w:r w:rsidRPr="00F041AD">
        <w:rPr>
          <w:rStyle w:val="EndnoteReference"/>
          <w:rFonts w:asciiTheme="majorHAnsi" w:hAnsiTheme="majorHAnsi"/>
          <w:color w:val="333333" w:themeColor="background1"/>
        </w:rPr>
        <w:endnoteReference w:id="281"/>
      </w:r>
      <w:r w:rsidRPr="00F041AD">
        <w:rPr>
          <w:rFonts w:asciiTheme="majorHAnsi" w:hAnsiTheme="majorHAnsi"/>
          <w:color w:val="333333" w:themeColor="background1"/>
        </w:rPr>
        <w:t xml:space="preserve"> Biogas would be an eligible source of renewable thermal energy. </w:t>
      </w:r>
    </w:p>
    <w:p w14:paraId="109549DB" w14:textId="77777777" w:rsidR="00B65A50" w:rsidRPr="00F041AD" w:rsidRDefault="00B65A50" w:rsidP="00371E84">
      <w:pPr>
        <w:pStyle w:val="5BodyText"/>
        <w:rPr>
          <w:b/>
          <w:i/>
          <w:color w:val="333333" w:themeColor="background1"/>
        </w:rPr>
      </w:pPr>
    </w:p>
    <w:p w14:paraId="760E39C9" w14:textId="77777777" w:rsidR="00B65A50" w:rsidRPr="00F041AD" w:rsidRDefault="00B65A50" w:rsidP="00371E84">
      <w:pPr>
        <w:pStyle w:val="5BodyText"/>
        <w:rPr>
          <w:b/>
          <w:i/>
          <w:color w:val="333333" w:themeColor="background1"/>
        </w:rPr>
      </w:pPr>
      <w:r w:rsidRPr="00F041AD">
        <w:rPr>
          <w:b/>
          <w:i/>
          <w:color w:val="333333" w:themeColor="background1"/>
        </w:rPr>
        <w:t>Other related resources</w:t>
      </w:r>
    </w:p>
    <w:p w14:paraId="5C258BE1" w14:textId="77777777" w:rsidR="00B65A50" w:rsidRPr="00F041AD" w:rsidRDefault="00B65A50" w:rsidP="00B71FCA">
      <w:pPr>
        <w:pStyle w:val="5BodyText"/>
        <w:numPr>
          <w:ilvl w:val="0"/>
          <w:numId w:val="152"/>
        </w:numPr>
        <w:rPr>
          <w:rFonts w:asciiTheme="majorHAnsi" w:hAnsiTheme="majorHAnsi"/>
          <w:color w:val="333333" w:themeColor="background1"/>
        </w:rPr>
      </w:pPr>
      <w:r w:rsidRPr="00F041AD">
        <w:rPr>
          <w:rFonts w:asciiTheme="majorHAnsi" w:hAnsiTheme="majorHAnsi"/>
          <w:color w:val="333333" w:themeColor="background1"/>
        </w:rPr>
        <w:t xml:space="preserve">The US DOE, USDA, and EPA are coordinating action on a </w:t>
      </w:r>
      <w:hyperlink r:id="rId213">
        <w:r w:rsidRPr="00F041AD">
          <w:rPr>
            <w:rFonts w:asciiTheme="majorHAnsi" w:hAnsiTheme="majorHAnsi"/>
            <w:color w:val="333333" w:themeColor="background1"/>
            <w:u w:val="single"/>
          </w:rPr>
          <w:t>Biogas Opportunities Roadmap</w:t>
        </w:r>
      </w:hyperlink>
      <w:r w:rsidRPr="00F041AD">
        <w:rPr>
          <w:rFonts w:asciiTheme="majorHAnsi" w:hAnsiTheme="majorHAnsi"/>
          <w:color w:val="333333" w:themeColor="background1"/>
        </w:rPr>
        <w:t>, with related progress reports for identified implementation actions.</w:t>
      </w:r>
      <w:r w:rsidRPr="00F041AD">
        <w:rPr>
          <w:rStyle w:val="EndnoteReference"/>
          <w:rFonts w:asciiTheme="majorHAnsi" w:hAnsiTheme="majorHAnsi"/>
          <w:color w:val="333333" w:themeColor="background1"/>
        </w:rPr>
        <w:endnoteReference w:id="282"/>
      </w:r>
      <w:r w:rsidRPr="00F041AD">
        <w:rPr>
          <w:rFonts w:asciiTheme="majorHAnsi" w:hAnsiTheme="majorHAnsi"/>
          <w:color w:val="333333" w:themeColor="background1"/>
        </w:rPr>
        <w:t xml:space="preserve"> </w:t>
      </w:r>
    </w:p>
    <w:p w14:paraId="73B2FA17" w14:textId="77777777" w:rsidR="0053594C" w:rsidRDefault="0053594C" w:rsidP="007F3F44">
      <w:pPr>
        <w:pStyle w:val="6BodyHighlight"/>
        <w:rPr>
          <w:color w:val="333333" w:themeColor="background1"/>
        </w:rPr>
      </w:pPr>
    </w:p>
    <w:p w14:paraId="69FB1FF6" w14:textId="127F4633" w:rsidR="00B65A50" w:rsidRPr="00F041AD" w:rsidRDefault="0053594C" w:rsidP="008B39AC">
      <w:pPr>
        <w:pStyle w:val="StrategyName"/>
      </w:pPr>
      <w:bookmarkStart w:id="254" w:name="_Toc322961656"/>
      <w:bookmarkStart w:id="255" w:name="_Toc322962053"/>
      <w:bookmarkStart w:id="256" w:name="_Toc322962240"/>
      <w:r>
        <w:t>D3</w:t>
      </w:r>
      <w:r w:rsidR="00B65A50" w:rsidRPr="00F041AD">
        <w:t xml:space="preserve">. Promote industrial </w:t>
      </w:r>
      <w:r w:rsidR="0009215A">
        <w:t xml:space="preserve">and agricultural </w:t>
      </w:r>
      <w:r w:rsidR="00B65A50" w:rsidRPr="00F041AD">
        <w:t>efficiency practices</w:t>
      </w:r>
      <w:bookmarkEnd w:id="254"/>
      <w:bookmarkEnd w:id="255"/>
      <w:bookmarkEnd w:id="256"/>
    </w:p>
    <w:p w14:paraId="48125D61" w14:textId="77777777" w:rsidR="00B65A50" w:rsidRPr="00F041AD" w:rsidRDefault="00B65A50" w:rsidP="00627DFC">
      <w:pPr>
        <w:pStyle w:val="5BodyText"/>
        <w:rPr>
          <w:b/>
          <w:i/>
          <w:color w:val="333333" w:themeColor="background1"/>
        </w:rPr>
      </w:pPr>
    </w:p>
    <w:p w14:paraId="67A86E1C" w14:textId="77777777" w:rsidR="00B65A50" w:rsidRPr="00F041AD" w:rsidRDefault="00B65A50" w:rsidP="00627DFC">
      <w:pPr>
        <w:pStyle w:val="5BodyText"/>
        <w:rPr>
          <w:b/>
          <w:i/>
          <w:color w:val="333333" w:themeColor="background1"/>
        </w:rPr>
      </w:pPr>
      <w:r w:rsidRPr="00F041AD">
        <w:rPr>
          <w:b/>
          <w:i/>
          <w:color w:val="333333" w:themeColor="background1"/>
        </w:rPr>
        <w:t>Strategy overview</w:t>
      </w:r>
    </w:p>
    <w:p w14:paraId="79479F4B" w14:textId="516918C9" w:rsidR="00B65A50" w:rsidRPr="00F041AD" w:rsidRDefault="00B65A50" w:rsidP="00762F2B">
      <w:pPr>
        <w:pStyle w:val="5BodyText"/>
        <w:rPr>
          <w:color w:val="333333" w:themeColor="background1"/>
          <w:sz w:val="22"/>
        </w:rPr>
      </w:pPr>
      <w:r w:rsidRPr="00F041AD">
        <w:rPr>
          <w:color w:val="333333" w:themeColor="background1"/>
        </w:rPr>
        <w:lastRenderedPageBreak/>
        <w:t xml:space="preserve">Although major improvements have been made at many industrial </w:t>
      </w:r>
      <w:r w:rsidR="0009215A">
        <w:rPr>
          <w:color w:val="333333" w:themeColor="background1"/>
        </w:rPr>
        <w:t xml:space="preserve">and agricultural </w:t>
      </w:r>
      <w:r w:rsidRPr="00F041AD">
        <w:rPr>
          <w:color w:val="333333" w:themeColor="background1"/>
        </w:rPr>
        <w:t xml:space="preserve">facilities to increase energy efficiency, there are additional opportunities for focused actions aimed at improving the energy productivity of industrial </w:t>
      </w:r>
      <w:r w:rsidR="0009215A">
        <w:rPr>
          <w:color w:val="333333" w:themeColor="background1"/>
        </w:rPr>
        <w:t xml:space="preserve">and agricultural </w:t>
      </w:r>
      <w:r w:rsidRPr="00F041AD">
        <w:rPr>
          <w:color w:val="333333" w:themeColor="background1"/>
        </w:rPr>
        <w:t>operations. For example, the US Department of Energy estimated in a 2015 report to Congress that increasing the adoption rate of energy efficient technologies and practices in the industrial sector could reduce energy consumption by 15 to 32 percent by 2025, but that many barriers exist that prevent these opportunities from being captured.</w:t>
      </w:r>
      <w:r w:rsidRPr="00F041AD">
        <w:rPr>
          <w:rStyle w:val="EndnoteReference"/>
          <w:color w:val="333333" w:themeColor="background1"/>
        </w:rPr>
        <w:endnoteReference w:id="283"/>
      </w:r>
      <w:r w:rsidRPr="00F041AD">
        <w:rPr>
          <w:color w:val="333333" w:themeColor="background1"/>
        </w:rPr>
        <w:t xml:space="preserve"> </w:t>
      </w:r>
      <w:r w:rsidR="00215143" w:rsidRPr="00C01B55">
        <w:t xml:space="preserve">In addition, a 2013 </w:t>
      </w:r>
      <w:r w:rsidR="00215143" w:rsidRPr="00C727C7">
        <w:t>report</w:t>
      </w:r>
      <w:r w:rsidR="00215143" w:rsidRPr="00C01B55">
        <w:t xml:space="preserve"> completed for the USDA showed that the agricultural community stands to benefit significantly from energy efficiency, but a key barrier to program participation is low awareness among energy efficiency program managers of resources from the USDA available to assist with energy efficiency measures.</w:t>
      </w:r>
      <w:r w:rsidR="00215143" w:rsidRPr="00215143">
        <w:rPr>
          <w:rStyle w:val="EndnoteReference"/>
          <w:color w:val="333333" w:themeColor="background1"/>
        </w:rPr>
        <w:t xml:space="preserve"> </w:t>
      </w:r>
      <w:r w:rsidR="00C727C7" w:rsidRPr="00F041AD">
        <w:rPr>
          <w:rStyle w:val="EndnoteReference"/>
          <w:color w:val="333333" w:themeColor="background1"/>
        </w:rPr>
        <w:endnoteReference w:id="284"/>
      </w:r>
    </w:p>
    <w:p w14:paraId="4BB6F9A1" w14:textId="77777777" w:rsidR="00B65A50" w:rsidRPr="00F041AD" w:rsidRDefault="00B65A50" w:rsidP="00762F2B">
      <w:pPr>
        <w:pStyle w:val="5BodyText"/>
        <w:rPr>
          <w:color w:val="333333" w:themeColor="background1"/>
          <w:sz w:val="22"/>
        </w:rPr>
      </w:pPr>
    </w:p>
    <w:p w14:paraId="7AA36B4F" w14:textId="36BBBD7B" w:rsidR="00C727C7" w:rsidRPr="0042672E" w:rsidRDefault="00C727C7" w:rsidP="00C727C7">
      <w:pPr>
        <w:pStyle w:val="5BodyText"/>
        <w:rPr>
          <w:sz w:val="22"/>
        </w:rPr>
      </w:pPr>
      <w:r w:rsidRPr="00C01B55">
        <w:t>This strategy highlights resources and approaches to help Minnesota industrial and agricultural facilities to take advantage of available programs, benefit from best practices that have been documented across the country, and realize greater energy savings.</w:t>
      </w:r>
    </w:p>
    <w:p w14:paraId="43950CE0" w14:textId="77777777" w:rsidR="00B65A50" w:rsidRPr="00F041AD" w:rsidRDefault="00B65A50" w:rsidP="00627DFC">
      <w:pPr>
        <w:pStyle w:val="5BodyText"/>
        <w:rPr>
          <w:b/>
          <w:i/>
          <w:color w:val="333333" w:themeColor="background1"/>
        </w:rPr>
      </w:pPr>
    </w:p>
    <w:p w14:paraId="481BCC02" w14:textId="77777777" w:rsidR="00B65A50" w:rsidRPr="00F041AD" w:rsidRDefault="00B65A50" w:rsidP="00627DFC">
      <w:pPr>
        <w:pStyle w:val="5BodyText"/>
        <w:rPr>
          <w:b/>
          <w:i/>
          <w:color w:val="333333" w:themeColor="background1"/>
        </w:rPr>
      </w:pPr>
      <w:r w:rsidRPr="00F041AD">
        <w:rPr>
          <w:b/>
          <w:i/>
          <w:color w:val="333333" w:themeColor="background1"/>
        </w:rPr>
        <w:t>Specific actions for strategy implementation</w:t>
      </w:r>
    </w:p>
    <w:p w14:paraId="2709A015" w14:textId="5B60DEA4" w:rsidR="00B65A50" w:rsidRPr="00F041AD" w:rsidRDefault="00B65A50" w:rsidP="00B71FCA">
      <w:pPr>
        <w:pStyle w:val="5BodyText"/>
        <w:numPr>
          <w:ilvl w:val="0"/>
          <w:numId w:val="153"/>
        </w:numPr>
        <w:rPr>
          <w:rFonts w:asciiTheme="majorHAnsi" w:hAnsiTheme="majorHAnsi"/>
          <w:color w:val="333333" w:themeColor="background1"/>
          <w:szCs w:val="20"/>
        </w:rPr>
      </w:pPr>
      <w:r w:rsidRPr="00F041AD">
        <w:rPr>
          <w:rFonts w:asciiTheme="majorHAnsi" w:hAnsiTheme="majorHAnsi"/>
          <w:b/>
          <w:color w:val="333333" w:themeColor="background1"/>
          <w:szCs w:val="20"/>
        </w:rPr>
        <w:t>Promote local and site specific, state, and federal programs as a resource for industr</w:t>
      </w:r>
      <w:r w:rsidR="00B7400A">
        <w:rPr>
          <w:rFonts w:asciiTheme="majorHAnsi" w:hAnsiTheme="majorHAnsi"/>
          <w:b/>
          <w:color w:val="333333" w:themeColor="background1"/>
          <w:szCs w:val="20"/>
        </w:rPr>
        <w:t>ial and agricultural sectors</w:t>
      </w:r>
      <w:r w:rsidRPr="00F041AD">
        <w:rPr>
          <w:rFonts w:asciiTheme="majorHAnsi" w:hAnsiTheme="majorHAnsi"/>
          <w:b/>
          <w:color w:val="333333" w:themeColor="background1"/>
          <w:szCs w:val="20"/>
        </w:rPr>
        <w:t xml:space="preserve"> to improve energy productivity.</w:t>
      </w:r>
      <w:r w:rsidRPr="00F041AD">
        <w:rPr>
          <w:rFonts w:asciiTheme="majorHAnsi" w:hAnsiTheme="majorHAnsi"/>
          <w:color w:val="333333" w:themeColor="background1"/>
          <w:szCs w:val="20"/>
        </w:rPr>
        <w:br/>
        <w:t>Programs include:</w:t>
      </w:r>
    </w:p>
    <w:p w14:paraId="374EFA3B" w14:textId="77777777" w:rsidR="00B65A50" w:rsidRPr="00F041AD" w:rsidRDefault="00B65A50" w:rsidP="00B71FCA">
      <w:pPr>
        <w:pStyle w:val="5BodyText"/>
        <w:numPr>
          <w:ilvl w:val="1"/>
          <w:numId w:val="153"/>
        </w:numPr>
        <w:rPr>
          <w:rFonts w:asciiTheme="majorHAnsi" w:hAnsiTheme="majorHAnsi"/>
          <w:color w:val="333333" w:themeColor="background1"/>
          <w:szCs w:val="20"/>
        </w:rPr>
      </w:pPr>
      <w:r w:rsidRPr="00F041AD">
        <w:rPr>
          <w:rFonts w:asciiTheme="majorHAnsi" w:hAnsiTheme="majorHAnsi"/>
          <w:color w:val="333333" w:themeColor="background1"/>
          <w:szCs w:val="20"/>
        </w:rPr>
        <w:t xml:space="preserve">Local and site specific </w:t>
      </w:r>
    </w:p>
    <w:p w14:paraId="6BE2708A" w14:textId="77777777" w:rsidR="00B65A50" w:rsidRPr="00F041AD" w:rsidRDefault="00B65A50" w:rsidP="00B71FCA">
      <w:pPr>
        <w:pStyle w:val="5BodyText"/>
        <w:numPr>
          <w:ilvl w:val="1"/>
          <w:numId w:val="153"/>
        </w:numPr>
        <w:rPr>
          <w:rFonts w:asciiTheme="majorHAnsi" w:hAnsiTheme="majorHAnsi"/>
          <w:color w:val="333333" w:themeColor="background1"/>
          <w:szCs w:val="20"/>
        </w:rPr>
      </w:pPr>
      <w:r w:rsidRPr="00F041AD">
        <w:rPr>
          <w:rFonts w:asciiTheme="majorHAnsi" w:hAnsiTheme="majorHAnsi"/>
          <w:color w:val="333333" w:themeColor="background1"/>
          <w:szCs w:val="20"/>
        </w:rPr>
        <w:t>State</w:t>
      </w:r>
    </w:p>
    <w:p w14:paraId="6904466E" w14:textId="77777777" w:rsidR="00B65A50" w:rsidRPr="00F041AD" w:rsidRDefault="00B65A50" w:rsidP="00B71FCA">
      <w:pPr>
        <w:pStyle w:val="5BodyText"/>
        <w:numPr>
          <w:ilvl w:val="2"/>
          <w:numId w:val="153"/>
        </w:numPr>
        <w:rPr>
          <w:rFonts w:asciiTheme="majorHAnsi" w:hAnsiTheme="majorHAnsi"/>
          <w:color w:val="333333" w:themeColor="background1"/>
          <w:szCs w:val="20"/>
        </w:rPr>
      </w:pPr>
      <w:r w:rsidRPr="00F041AD">
        <w:rPr>
          <w:rFonts w:asciiTheme="majorHAnsi" w:hAnsiTheme="majorHAnsi"/>
          <w:color w:val="333333" w:themeColor="background1"/>
          <w:szCs w:val="20"/>
        </w:rPr>
        <w:t>Conservation Improvement Program (CIP)</w:t>
      </w:r>
    </w:p>
    <w:p w14:paraId="640EE42B" w14:textId="77777777" w:rsidR="00B65A50" w:rsidRPr="00F041AD" w:rsidRDefault="00B65A50" w:rsidP="00B71FCA">
      <w:pPr>
        <w:pStyle w:val="5BodyText"/>
        <w:numPr>
          <w:ilvl w:val="2"/>
          <w:numId w:val="153"/>
        </w:numPr>
        <w:rPr>
          <w:rFonts w:asciiTheme="majorHAnsi" w:hAnsiTheme="majorHAnsi"/>
          <w:color w:val="333333" w:themeColor="background1"/>
          <w:szCs w:val="20"/>
        </w:rPr>
      </w:pPr>
      <w:r w:rsidRPr="00F041AD">
        <w:rPr>
          <w:rFonts w:asciiTheme="majorHAnsi" w:hAnsiTheme="majorHAnsi"/>
          <w:color w:val="333333" w:themeColor="background1"/>
          <w:szCs w:val="20"/>
        </w:rPr>
        <w:t>Conservation Applied Research and Development (CARD)</w:t>
      </w:r>
    </w:p>
    <w:p w14:paraId="2A542947" w14:textId="77777777" w:rsidR="00B65A50" w:rsidRPr="00F041AD" w:rsidRDefault="00B65A50" w:rsidP="00B71FCA">
      <w:pPr>
        <w:pStyle w:val="5BodyText"/>
        <w:numPr>
          <w:ilvl w:val="2"/>
          <w:numId w:val="153"/>
        </w:numPr>
        <w:rPr>
          <w:rFonts w:asciiTheme="majorHAnsi" w:hAnsiTheme="majorHAnsi"/>
          <w:color w:val="333333" w:themeColor="background1"/>
          <w:szCs w:val="20"/>
        </w:rPr>
      </w:pPr>
      <w:r w:rsidRPr="00F041AD">
        <w:rPr>
          <w:rFonts w:asciiTheme="majorHAnsi" w:hAnsiTheme="majorHAnsi"/>
          <w:color w:val="333333" w:themeColor="background1"/>
          <w:szCs w:val="20"/>
        </w:rPr>
        <w:t>Minnesota Technical Assistance Program (</w:t>
      </w:r>
      <w:proofErr w:type="spellStart"/>
      <w:r w:rsidRPr="00F041AD">
        <w:rPr>
          <w:rFonts w:asciiTheme="majorHAnsi" w:hAnsiTheme="majorHAnsi"/>
          <w:color w:val="333333" w:themeColor="background1"/>
          <w:szCs w:val="20"/>
        </w:rPr>
        <w:t>MnTAP</w:t>
      </w:r>
      <w:proofErr w:type="spellEnd"/>
      <w:r w:rsidRPr="00F041AD">
        <w:rPr>
          <w:rFonts w:asciiTheme="majorHAnsi" w:hAnsiTheme="majorHAnsi"/>
          <w:color w:val="333333" w:themeColor="background1"/>
          <w:szCs w:val="20"/>
        </w:rPr>
        <w:t>)</w:t>
      </w:r>
    </w:p>
    <w:p w14:paraId="79C05298" w14:textId="77777777" w:rsidR="00B65A50" w:rsidRPr="00F041AD" w:rsidRDefault="00B65A50" w:rsidP="00B71FCA">
      <w:pPr>
        <w:pStyle w:val="5BodyText"/>
        <w:numPr>
          <w:ilvl w:val="1"/>
          <w:numId w:val="153"/>
        </w:numPr>
        <w:rPr>
          <w:rFonts w:asciiTheme="majorHAnsi" w:hAnsiTheme="majorHAnsi"/>
          <w:color w:val="333333" w:themeColor="background1"/>
          <w:szCs w:val="20"/>
        </w:rPr>
      </w:pPr>
      <w:r w:rsidRPr="00F041AD">
        <w:rPr>
          <w:rFonts w:asciiTheme="majorHAnsi" w:hAnsiTheme="majorHAnsi"/>
          <w:color w:val="333333" w:themeColor="background1"/>
          <w:szCs w:val="20"/>
        </w:rPr>
        <w:t>Federal</w:t>
      </w:r>
    </w:p>
    <w:p w14:paraId="622D8E33" w14:textId="77777777" w:rsidR="00B65A50" w:rsidRPr="00F041AD" w:rsidRDefault="006506BB" w:rsidP="00B71FCA">
      <w:pPr>
        <w:pStyle w:val="5BodyText"/>
        <w:numPr>
          <w:ilvl w:val="2"/>
          <w:numId w:val="153"/>
        </w:numPr>
        <w:rPr>
          <w:rFonts w:asciiTheme="majorHAnsi" w:hAnsiTheme="majorHAnsi"/>
          <w:color w:val="333333" w:themeColor="background1"/>
          <w:szCs w:val="20"/>
        </w:rPr>
      </w:pPr>
      <w:hyperlink r:id="rId214">
        <w:r w:rsidR="00B65A50" w:rsidRPr="00F041AD">
          <w:rPr>
            <w:rFonts w:asciiTheme="majorHAnsi" w:hAnsiTheme="majorHAnsi"/>
            <w:color w:val="333333" w:themeColor="background1"/>
            <w:szCs w:val="20"/>
            <w:u w:val="single"/>
          </w:rPr>
          <w:t>Superior Energy Performance</w:t>
        </w:r>
      </w:hyperlink>
      <w:r w:rsidR="00B65A50" w:rsidRPr="00F041AD">
        <w:rPr>
          <w:rFonts w:asciiTheme="majorHAnsi" w:hAnsiTheme="majorHAnsi"/>
          <w:color w:val="333333" w:themeColor="background1"/>
          <w:szCs w:val="20"/>
        </w:rPr>
        <w:t xml:space="preserve"> - a tool for companies to implement energy management systems with third party verified savings; </w:t>
      </w:r>
    </w:p>
    <w:p w14:paraId="08B51379" w14:textId="77777777" w:rsidR="00B65A50" w:rsidRPr="00F041AD" w:rsidRDefault="006506BB" w:rsidP="00B71FCA">
      <w:pPr>
        <w:pStyle w:val="5BodyText"/>
        <w:numPr>
          <w:ilvl w:val="2"/>
          <w:numId w:val="153"/>
        </w:numPr>
        <w:rPr>
          <w:rFonts w:asciiTheme="majorHAnsi" w:hAnsiTheme="majorHAnsi"/>
          <w:color w:val="333333" w:themeColor="background1"/>
          <w:szCs w:val="20"/>
        </w:rPr>
      </w:pPr>
      <w:hyperlink r:id="rId215">
        <w:r w:rsidR="00B65A50" w:rsidRPr="00F041AD">
          <w:rPr>
            <w:rFonts w:asciiTheme="majorHAnsi" w:hAnsiTheme="majorHAnsi"/>
            <w:color w:val="333333" w:themeColor="background1"/>
            <w:szCs w:val="20"/>
            <w:u w:val="single"/>
          </w:rPr>
          <w:t>Better Plants</w:t>
        </w:r>
      </w:hyperlink>
      <w:r w:rsidR="00B65A50" w:rsidRPr="00F041AD">
        <w:rPr>
          <w:rFonts w:asciiTheme="majorHAnsi" w:hAnsiTheme="majorHAnsi"/>
          <w:color w:val="333333" w:themeColor="background1"/>
          <w:szCs w:val="20"/>
        </w:rPr>
        <w:t xml:space="preserve"> - partners join the program and commit to a 25 percent improvement in energy intensity over 10 years across all facilities; and</w:t>
      </w:r>
    </w:p>
    <w:p w14:paraId="25B8AD60" w14:textId="77777777" w:rsidR="00B65A50" w:rsidRDefault="006506BB" w:rsidP="00B71FCA">
      <w:pPr>
        <w:pStyle w:val="5BodyText"/>
        <w:numPr>
          <w:ilvl w:val="2"/>
          <w:numId w:val="153"/>
        </w:numPr>
        <w:rPr>
          <w:rFonts w:asciiTheme="majorHAnsi" w:hAnsiTheme="majorHAnsi"/>
          <w:color w:val="333333" w:themeColor="background1"/>
          <w:szCs w:val="20"/>
        </w:rPr>
      </w:pPr>
      <w:hyperlink r:id="rId216">
        <w:r w:rsidR="00B65A50" w:rsidRPr="00F041AD">
          <w:rPr>
            <w:rFonts w:asciiTheme="majorHAnsi" w:hAnsiTheme="majorHAnsi"/>
            <w:color w:val="333333" w:themeColor="background1"/>
            <w:szCs w:val="20"/>
            <w:u w:val="single"/>
          </w:rPr>
          <w:t>Industrial Assessment Centers</w:t>
        </w:r>
      </w:hyperlink>
      <w:r w:rsidR="00B65A50" w:rsidRPr="00F041AD">
        <w:rPr>
          <w:rFonts w:asciiTheme="majorHAnsi" w:hAnsiTheme="majorHAnsi"/>
          <w:color w:val="333333" w:themeColor="background1"/>
          <w:szCs w:val="20"/>
        </w:rPr>
        <w:t xml:space="preserve"> (IACs) - engineering universities across the country that provide no cost assessments to small and medium sized manufacturers. Minnesota does not currently have an IAC, but Iowa State serves manufacturers. </w:t>
      </w:r>
    </w:p>
    <w:p w14:paraId="774DA522" w14:textId="77777777" w:rsidR="00302A7B" w:rsidRPr="00363B42" w:rsidRDefault="00302A7B" w:rsidP="00302A7B">
      <w:pPr>
        <w:pStyle w:val="5BodyText"/>
        <w:numPr>
          <w:ilvl w:val="2"/>
          <w:numId w:val="153"/>
        </w:numPr>
        <w:rPr>
          <w:rFonts w:asciiTheme="majorHAnsi" w:hAnsiTheme="majorHAnsi"/>
          <w:color w:val="1155CC"/>
          <w:szCs w:val="20"/>
          <w:u w:val="single"/>
        </w:rPr>
      </w:pPr>
      <w:hyperlink r:id="rId217" w:history="1">
        <w:r w:rsidRPr="00363B42">
          <w:rPr>
            <w:rFonts w:asciiTheme="majorHAnsi" w:hAnsiTheme="majorHAnsi"/>
            <w:color w:val="1155CC"/>
            <w:szCs w:val="20"/>
            <w:u w:val="single"/>
          </w:rPr>
          <w:t>US Department of Agriculture, Rural Energy for America Program</w:t>
        </w:r>
      </w:hyperlink>
      <w:r>
        <w:rPr>
          <w:rFonts w:asciiTheme="majorHAnsi" w:hAnsiTheme="majorHAnsi"/>
          <w:szCs w:val="20"/>
        </w:rPr>
        <w:t xml:space="preserve"> p</w:t>
      </w:r>
      <w:r w:rsidRPr="003E1366">
        <w:rPr>
          <w:rFonts w:asciiTheme="majorHAnsi" w:hAnsiTheme="majorHAnsi"/>
          <w:szCs w:val="20"/>
        </w:rPr>
        <w:t>rovides guaranteed loan financing and grant funding to agricultural producers and rural small businesses to make energy efficiency improvements or install renewable energy systems</w:t>
      </w:r>
      <w:r>
        <w:rPr>
          <w:rFonts w:asciiTheme="majorHAnsi" w:hAnsiTheme="majorHAnsi"/>
          <w:szCs w:val="20"/>
        </w:rPr>
        <w:t>.</w:t>
      </w:r>
    </w:p>
    <w:p w14:paraId="38DFF9FE" w14:textId="4C286996" w:rsidR="00B65A50" w:rsidRPr="00F041AD" w:rsidRDefault="00B65A50" w:rsidP="00B71FCA">
      <w:pPr>
        <w:pStyle w:val="5BodyText"/>
        <w:rPr>
          <w:rFonts w:asciiTheme="majorHAnsi" w:hAnsiTheme="majorHAnsi"/>
          <w:color w:val="333333" w:themeColor="background1"/>
          <w:szCs w:val="20"/>
        </w:rPr>
      </w:pPr>
    </w:p>
    <w:p w14:paraId="03864F02" w14:textId="77777777" w:rsidR="00B65A50" w:rsidRPr="00F041AD" w:rsidRDefault="00B65A50" w:rsidP="001C57F3">
      <w:pPr>
        <w:pStyle w:val="5BodyText"/>
        <w:ind w:left="720"/>
        <w:rPr>
          <w:rFonts w:asciiTheme="majorHAnsi" w:hAnsiTheme="majorHAnsi"/>
          <w:b/>
          <w:color w:val="333333" w:themeColor="background1"/>
          <w:szCs w:val="20"/>
        </w:rPr>
      </w:pPr>
      <w:r w:rsidRPr="00F041AD">
        <w:rPr>
          <w:rFonts w:asciiTheme="majorHAnsi" w:hAnsiTheme="majorHAnsi"/>
          <w:b/>
          <w:color w:val="333333" w:themeColor="background1"/>
          <w:szCs w:val="20"/>
        </w:rPr>
        <w:t xml:space="preserve">Champions/Key Participants: </w:t>
      </w:r>
    </w:p>
    <w:p w14:paraId="5291A903" w14:textId="58A2F774" w:rsidR="00B65A50" w:rsidRPr="00F041AD" w:rsidRDefault="00B65A50" w:rsidP="001C57F3">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lastRenderedPageBreak/>
        <w:t xml:space="preserve">- </w:t>
      </w:r>
      <w:r w:rsidRPr="00F041AD">
        <w:rPr>
          <w:rFonts w:asciiTheme="majorHAnsi" w:hAnsiTheme="majorHAnsi"/>
          <w:color w:val="333333" w:themeColor="background1"/>
          <w:szCs w:val="20"/>
          <w:u w:val="single"/>
        </w:rPr>
        <w:t>MN Department of Commerce</w:t>
      </w:r>
      <w:r w:rsidRPr="00F041AD">
        <w:rPr>
          <w:rFonts w:asciiTheme="majorHAnsi" w:hAnsiTheme="majorHAnsi"/>
          <w:color w:val="333333" w:themeColor="background1"/>
          <w:szCs w:val="20"/>
        </w:rPr>
        <w:t xml:space="preserve"> reviews the costs and benefits of commercial and industrial efficiency programs for inclusion in utility Conservation Improvement Programs (CIP) and provides funding through the Conservation Applied Research and Development (CARD) program </w:t>
      </w:r>
    </w:p>
    <w:p w14:paraId="390DB527" w14:textId="2FE8498F" w:rsidR="00B65A50" w:rsidRPr="00F041AD" w:rsidRDefault="00B65A50" w:rsidP="001C57F3">
      <w:pPr>
        <w:pStyle w:val="5BodyText"/>
        <w:ind w:left="720"/>
        <w:rPr>
          <w:rFonts w:asciiTheme="majorHAnsi" w:hAnsiTheme="majorHAnsi" w:cs="Cambria"/>
          <w:color w:val="333333" w:themeColor="background1"/>
          <w:szCs w:val="20"/>
          <w:u w:val="single"/>
        </w:rPr>
      </w:pPr>
      <w:r w:rsidRPr="00F041AD">
        <w:rPr>
          <w:rFonts w:asciiTheme="majorHAnsi" w:hAnsiTheme="majorHAnsi"/>
          <w:color w:val="333333" w:themeColor="background1"/>
          <w:szCs w:val="20"/>
        </w:rPr>
        <w:t xml:space="preserve">- </w:t>
      </w:r>
      <w:r w:rsidRPr="00F041AD">
        <w:rPr>
          <w:rFonts w:asciiTheme="majorHAnsi" w:hAnsiTheme="majorHAnsi" w:cs="Cambria"/>
          <w:color w:val="333333" w:themeColor="background1"/>
          <w:szCs w:val="20"/>
          <w:u w:val="single"/>
        </w:rPr>
        <w:t>DOE Advanced Manufacturing Office</w:t>
      </w:r>
    </w:p>
    <w:p w14:paraId="5DEB6392" w14:textId="7D5AB5A2" w:rsidR="00B65A50" w:rsidRPr="00F041AD" w:rsidRDefault="00B65A50" w:rsidP="001C57F3">
      <w:pPr>
        <w:pStyle w:val="5BodyText"/>
        <w:ind w:left="720"/>
        <w:rPr>
          <w:rFonts w:asciiTheme="majorHAnsi" w:hAnsiTheme="majorHAnsi"/>
          <w:color w:val="333333" w:themeColor="background1"/>
          <w:szCs w:val="20"/>
          <w:u w:val="single"/>
        </w:rPr>
      </w:pPr>
      <w:r w:rsidRPr="00F041AD">
        <w:rPr>
          <w:rFonts w:asciiTheme="majorHAnsi" w:hAnsiTheme="majorHAnsi"/>
          <w:color w:val="333333" w:themeColor="background1"/>
          <w:szCs w:val="20"/>
        </w:rPr>
        <w:t xml:space="preserve">- </w:t>
      </w:r>
      <w:r w:rsidRPr="00F041AD">
        <w:rPr>
          <w:rFonts w:asciiTheme="majorHAnsi" w:hAnsiTheme="majorHAnsi" w:cs="Cambria"/>
          <w:color w:val="333333" w:themeColor="background1"/>
          <w:szCs w:val="20"/>
          <w:u w:val="single"/>
        </w:rPr>
        <w:t>Iowa State Industrial Assessment Center</w:t>
      </w:r>
      <w:r w:rsidRPr="00F041AD">
        <w:rPr>
          <w:rFonts w:asciiTheme="majorHAnsi" w:hAnsiTheme="majorHAnsi"/>
          <w:color w:val="333333" w:themeColor="background1"/>
          <w:szCs w:val="20"/>
        </w:rPr>
        <w:t xml:space="preserve"> provides no cost energy assessments to small and medium sized manufacturers</w:t>
      </w:r>
    </w:p>
    <w:p w14:paraId="2A57C00B" w14:textId="1BF6FB05" w:rsidR="00B65A50" w:rsidRPr="00F041AD" w:rsidRDefault="00B65A50" w:rsidP="001C57F3">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u w:val="single"/>
        </w:rPr>
        <w:t>Electric and gas utilities</w:t>
      </w:r>
      <w:r w:rsidRPr="00F041AD">
        <w:rPr>
          <w:rFonts w:asciiTheme="majorHAnsi" w:hAnsiTheme="majorHAnsi"/>
          <w:color w:val="333333" w:themeColor="background1"/>
          <w:szCs w:val="20"/>
        </w:rPr>
        <w:t xml:space="preserve"> offer commercial and industrial efficiency programs as a part of their state-approved conservation programs.</w:t>
      </w:r>
    </w:p>
    <w:p w14:paraId="036F1DF9" w14:textId="1DFFCC25" w:rsidR="00B65A50" w:rsidRPr="00F041AD" w:rsidRDefault="00B65A50" w:rsidP="001C57F3">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r w:rsidR="00302A7B" w:rsidRPr="00363B42">
        <w:rPr>
          <w:rFonts w:asciiTheme="majorHAnsi" w:hAnsiTheme="majorHAnsi"/>
          <w:color w:val="333333" w:themeColor="background1"/>
          <w:szCs w:val="20"/>
          <w:u w:val="single"/>
        </w:rPr>
        <w:t>Minnesota Technical Assistance P</w:t>
      </w:r>
      <w:r w:rsidR="00302A7B">
        <w:rPr>
          <w:rFonts w:asciiTheme="majorHAnsi" w:hAnsiTheme="majorHAnsi"/>
          <w:color w:val="333333" w:themeColor="background1"/>
          <w:szCs w:val="20"/>
          <w:u w:val="single"/>
        </w:rPr>
        <w:t>rogram</w:t>
      </w:r>
      <w:r w:rsidR="00302A7B" w:rsidRPr="00F041AD">
        <w:rPr>
          <w:rFonts w:asciiTheme="majorHAnsi" w:hAnsiTheme="majorHAnsi"/>
          <w:color w:val="333333" w:themeColor="background1"/>
          <w:szCs w:val="20"/>
        </w:rPr>
        <w:t xml:space="preserve"> </w:t>
      </w:r>
      <w:r w:rsidR="00302A7B">
        <w:rPr>
          <w:rFonts w:asciiTheme="majorHAnsi" w:hAnsiTheme="majorHAnsi"/>
          <w:color w:val="333333" w:themeColor="background1"/>
          <w:szCs w:val="20"/>
        </w:rPr>
        <w:t>(</w:t>
      </w:r>
      <w:proofErr w:type="spellStart"/>
      <w:r w:rsidRPr="00F041AD">
        <w:rPr>
          <w:rFonts w:asciiTheme="majorHAnsi" w:hAnsiTheme="majorHAnsi"/>
          <w:color w:val="333333" w:themeColor="background1"/>
          <w:szCs w:val="20"/>
        </w:rPr>
        <w:t>MnTAP</w:t>
      </w:r>
      <w:proofErr w:type="spellEnd"/>
      <w:r w:rsidR="00302A7B">
        <w:rPr>
          <w:rFonts w:asciiTheme="majorHAnsi" w:hAnsiTheme="majorHAnsi"/>
          <w:color w:val="333333" w:themeColor="background1"/>
          <w:szCs w:val="20"/>
        </w:rPr>
        <w:t>)</w:t>
      </w:r>
      <w:r w:rsidRPr="00F041AD">
        <w:rPr>
          <w:rFonts w:asciiTheme="majorHAnsi" w:hAnsiTheme="majorHAnsi"/>
          <w:color w:val="333333" w:themeColor="background1"/>
          <w:szCs w:val="20"/>
        </w:rPr>
        <w:t xml:space="preserve"> (pending additional funding)</w:t>
      </w:r>
      <w:r w:rsidR="00302A7B">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t>works with MN businesses to develop and implement industry-specific solutions to reduce energy use and costs through on-site technical assistance with engineering staff and student interns</w:t>
      </w:r>
    </w:p>
    <w:p w14:paraId="58DD80DE" w14:textId="00551CC4" w:rsidR="00B65A50" w:rsidRPr="00F041AD" w:rsidRDefault="00B65A50" w:rsidP="001C57F3">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u w:val="single"/>
        </w:rPr>
        <w:t>Minnesota Chamber of Commerce</w:t>
      </w:r>
      <w:r w:rsidRPr="00F041AD">
        <w:rPr>
          <w:rFonts w:asciiTheme="majorHAnsi" w:hAnsiTheme="majorHAnsi"/>
          <w:color w:val="333333" w:themeColor="background1"/>
          <w:szCs w:val="20"/>
        </w:rPr>
        <w:t xml:space="preserve">, through the </w:t>
      </w:r>
      <w:hyperlink r:id="rId218" w:history="1">
        <w:r w:rsidRPr="00F041AD">
          <w:rPr>
            <w:rStyle w:val="Hyperlink"/>
            <w:rFonts w:asciiTheme="majorHAnsi" w:hAnsiTheme="majorHAnsi"/>
            <w:color w:val="333333" w:themeColor="background1"/>
            <w:szCs w:val="20"/>
          </w:rPr>
          <w:t>MN Energy Smart</w:t>
        </w:r>
      </w:hyperlink>
      <w:r w:rsidRPr="00F041AD">
        <w:rPr>
          <w:rFonts w:asciiTheme="majorHAnsi" w:hAnsiTheme="majorHAnsi"/>
          <w:color w:val="333333" w:themeColor="background1"/>
          <w:szCs w:val="20"/>
        </w:rPr>
        <w:t xml:space="preserve"> program helps Minnesota businesses find ways to save energy and connect to financial incentives. The program is funded through state-approved utility conservation programs.</w:t>
      </w:r>
    </w:p>
    <w:p w14:paraId="44A5B351" w14:textId="5C3D3A7B" w:rsidR="00B65A50" w:rsidRPr="00F041AD" w:rsidRDefault="00B65A50" w:rsidP="001C57F3">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hyperlink r:id="rId219" w:history="1">
        <w:r w:rsidRPr="00F041AD">
          <w:rPr>
            <w:rStyle w:val="Hyperlink"/>
            <w:rFonts w:asciiTheme="majorHAnsi" w:hAnsiTheme="majorHAnsi"/>
            <w:color w:val="333333" w:themeColor="background1"/>
            <w:szCs w:val="20"/>
          </w:rPr>
          <w:t>CEE</w:t>
        </w:r>
      </w:hyperlink>
      <w:r w:rsidRPr="00F041AD">
        <w:rPr>
          <w:rFonts w:asciiTheme="majorHAnsi" w:hAnsiTheme="majorHAnsi"/>
          <w:color w:val="333333" w:themeColor="background1"/>
          <w:szCs w:val="20"/>
        </w:rPr>
        <w:t xml:space="preserve"> administers a variety of small business efficiency programs funded through state-approved utility conservation programs.</w:t>
      </w:r>
    </w:p>
    <w:p w14:paraId="23DD0F22" w14:textId="33F97221" w:rsidR="00B65A50" w:rsidRPr="00F041AD" w:rsidRDefault="00B65A50" w:rsidP="001C57F3">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hyperlink r:id="rId220" w:history="1">
        <w:r w:rsidRPr="00F041AD">
          <w:rPr>
            <w:rStyle w:val="Hyperlink"/>
            <w:rFonts w:asciiTheme="majorHAnsi" w:hAnsiTheme="majorHAnsi"/>
            <w:color w:val="333333" w:themeColor="background1"/>
            <w:szCs w:val="20"/>
          </w:rPr>
          <w:t>Enterprise Minnesota</w:t>
        </w:r>
      </w:hyperlink>
      <w:r w:rsidRPr="00F041AD">
        <w:rPr>
          <w:rFonts w:asciiTheme="majorHAnsi" w:hAnsiTheme="majorHAnsi"/>
          <w:color w:val="333333" w:themeColor="background1"/>
          <w:szCs w:val="20"/>
        </w:rPr>
        <w:t xml:space="preserve"> assists manufacturers to improve process and operational efficiency.</w:t>
      </w:r>
    </w:p>
    <w:p w14:paraId="729A439F" w14:textId="039C1E01" w:rsidR="00B65A50" w:rsidRPr="00F041AD" w:rsidRDefault="00B65A50" w:rsidP="001C57F3">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hyperlink r:id="rId221" w:history="1">
        <w:r w:rsidRPr="00F041AD">
          <w:rPr>
            <w:rStyle w:val="Hyperlink"/>
            <w:rFonts w:asciiTheme="majorHAnsi" w:hAnsiTheme="majorHAnsi"/>
            <w:color w:val="333333" w:themeColor="background1"/>
            <w:szCs w:val="20"/>
          </w:rPr>
          <w:t>Saint Paul Port Authority</w:t>
        </w:r>
      </w:hyperlink>
      <w:r w:rsidRPr="00F041AD">
        <w:rPr>
          <w:rFonts w:asciiTheme="majorHAnsi" w:hAnsiTheme="majorHAnsi"/>
          <w:color w:val="333333" w:themeColor="background1"/>
          <w:szCs w:val="20"/>
        </w:rPr>
        <w:t xml:space="preserve"> administers the Trillion BTU loan program and PACE to finance energy efficiency projects.</w:t>
      </w:r>
    </w:p>
    <w:p w14:paraId="2321146A" w14:textId="1737C0D1" w:rsidR="00B65A50" w:rsidRDefault="00B65A50" w:rsidP="001C57F3">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hyperlink r:id="rId222" w:history="1">
        <w:r w:rsidRPr="00F041AD">
          <w:rPr>
            <w:rStyle w:val="Hyperlink"/>
            <w:rFonts w:asciiTheme="majorHAnsi" w:hAnsiTheme="majorHAnsi"/>
            <w:color w:val="333333" w:themeColor="background1"/>
            <w:szCs w:val="20"/>
          </w:rPr>
          <w:t>Environmental Initiative</w:t>
        </w:r>
      </w:hyperlink>
      <w:r w:rsidRPr="00F041AD">
        <w:rPr>
          <w:rFonts w:asciiTheme="majorHAnsi" w:hAnsiTheme="majorHAnsi"/>
          <w:color w:val="333333" w:themeColor="background1"/>
          <w:szCs w:val="20"/>
        </w:rPr>
        <w:t xml:space="preserve"> offers sustainability best-practice exchange at their Business &amp; Environment Series events.</w:t>
      </w:r>
    </w:p>
    <w:p w14:paraId="7A9CC3C6" w14:textId="77777777" w:rsidR="00302A7B" w:rsidRPr="003E1366" w:rsidRDefault="00302A7B" w:rsidP="00302A7B">
      <w:pPr>
        <w:pStyle w:val="5BodyText"/>
        <w:ind w:left="720"/>
        <w:rPr>
          <w:rFonts w:asciiTheme="majorHAnsi" w:hAnsiTheme="majorHAnsi"/>
          <w:szCs w:val="20"/>
        </w:rPr>
      </w:pPr>
      <w:r>
        <w:rPr>
          <w:rFonts w:asciiTheme="majorHAnsi" w:hAnsiTheme="majorHAnsi"/>
          <w:szCs w:val="20"/>
        </w:rPr>
        <w:t xml:space="preserve">- </w:t>
      </w:r>
      <w:hyperlink r:id="rId223" w:history="1">
        <w:r w:rsidRPr="00363B42">
          <w:rPr>
            <w:rStyle w:val="Hyperlink"/>
            <w:rFonts w:asciiTheme="majorHAnsi" w:hAnsiTheme="majorHAnsi"/>
            <w:szCs w:val="20"/>
          </w:rPr>
          <w:t>Clean Energy Resource Teams</w:t>
        </w:r>
      </w:hyperlink>
      <w:r>
        <w:rPr>
          <w:rFonts w:asciiTheme="majorHAnsi" w:hAnsiTheme="majorHAnsi"/>
          <w:szCs w:val="20"/>
        </w:rPr>
        <w:t xml:space="preserve"> </w:t>
      </w:r>
      <w:r w:rsidRPr="001F63F9">
        <w:rPr>
          <w:rFonts w:asciiTheme="majorHAnsi" w:hAnsiTheme="majorHAnsi"/>
          <w:color w:val="333333" w:themeColor="background1"/>
          <w:szCs w:val="20"/>
        </w:rPr>
        <w:t>leads outreach initiatives such as “Milk the Savings” dairy energy efficiency program and “Gobbling up Savings” for LED lighting in turkey barns</w:t>
      </w:r>
      <w:r>
        <w:rPr>
          <w:rFonts w:asciiTheme="majorHAnsi" w:hAnsiTheme="majorHAnsi"/>
          <w:szCs w:val="20"/>
        </w:rPr>
        <w:t>.</w:t>
      </w:r>
    </w:p>
    <w:p w14:paraId="6B0F841B" w14:textId="77777777" w:rsidR="00302A7B" w:rsidRPr="00C01B55" w:rsidRDefault="00302A7B" w:rsidP="00302A7B">
      <w:pPr>
        <w:pStyle w:val="5BodyText"/>
        <w:ind w:left="720"/>
        <w:rPr>
          <w:rFonts w:asciiTheme="majorHAnsi" w:hAnsiTheme="majorHAnsi"/>
          <w:szCs w:val="20"/>
        </w:rPr>
      </w:pPr>
      <w:r>
        <w:rPr>
          <w:rFonts w:asciiTheme="majorHAnsi" w:hAnsiTheme="majorHAnsi"/>
          <w:szCs w:val="20"/>
        </w:rPr>
        <w:t xml:space="preserve">- </w:t>
      </w:r>
      <w:hyperlink r:id="rId224" w:history="1">
        <w:r w:rsidRPr="00C01B55">
          <w:rPr>
            <w:rStyle w:val="Hyperlink"/>
            <w:rFonts w:asciiTheme="majorHAnsi" w:hAnsiTheme="majorHAnsi"/>
            <w:szCs w:val="20"/>
          </w:rPr>
          <w:t>USDA Minnesota Rural Development Office</w:t>
        </w:r>
      </w:hyperlink>
    </w:p>
    <w:p w14:paraId="4718DE7B" w14:textId="77777777" w:rsidR="00B65A50" w:rsidRPr="00F041AD" w:rsidRDefault="00B65A50" w:rsidP="00B71FCA">
      <w:pPr>
        <w:pStyle w:val="5BodyText"/>
        <w:rPr>
          <w:rFonts w:asciiTheme="majorHAnsi" w:hAnsiTheme="majorHAnsi"/>
          <w:color w:val="333333" w:themeColor="background1"/>
          <w:szCs w:val="20"/>
        </w:rPr>
      </w:pPr>
    </w:p>
    <w:p w14:paraId="201BE276" w14:textId="2E4A13F1" w:rsidR="00B65A50" w:rsidRPr="00F041AD" w:rsidRDefault="00B65A50" w:rsidP="00B71FCA">
      <w:pPr>
        <w:pStyle w:val="5BodyText"/>
        <w:numPr>
          <w:ilvl w:val="0"/>
          <w:numId w:val="153"/>
        </w:numPr>
        <w:rPr>
          <w:rFonts w:asciiTheme="majorHAnsi" w:hAnsiTheme="majorHAnsi"/>
          <w:color w:val="333333" w:themeColor="background1"/>
          <w:szCs w:val="20"/>
        </w:rPr>
      </w:pPr>
      <w:r w:rsidRPr="00F041AD">
        <w:rPr>
          <w:rFonts w:asciiTheme="majorHAnsi" w:hAnsiTheme="majorHAnsi"/>
          <w:b/>
          <w:color w:val="333333" w:themeColor="background1"/>
          <w:szCs w:val="20"/>
        </w:rPr>
        <w:t>Work with industr</w:t>
      </w:r>
      <w:r w:rsidR="00302A7B">
        <w:rPr>
          <w:rFonts w:asciiTheme="majorHAnsi" w:hAnsiTheme="majorHAnsi"/>
          <w:b/>
          <w:color w:val="333333" w:themeColor="background1"/>
          <w:szCs w:val="20"/>
        </w:rPr>
        <w:t>ial, agricultural,</w:t>
      </w:r>
      <w:r w:rsidRPr="00F041AD">
        <w:rPr>
          <w:rFonts w:asciiTheme="majorHAnsi" w:hAnsiTheme="majorHAnsi"/>
          <w:b/>
          <w:color w:val="333333" w:themeColor="background1"/>
          <w:szCs w:val="20"/>
        </w:rPr>
        <w:t xml:space="preserve"> and trade associations to incorporate energy efficiency best management practices and program resources into communications materials and services offered. </w:t>
      </w: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rPr>
        <w:br/>
        <w:t>The industrial facilities that have made significant progress in improving energy efficiency in their operations can share their lessons learned through a facilitated network of motivated companies. This may be especially important for small to mid-sized industrial facilities such as food processors.</w:t>
      </w:r>
      <w:r w:rsidRPr="00F041AD">
        <w:rPr>
          <w:rFonts w:asciiTheme="majorHAnsi" w:hAnsiTheme="majorHAnsi"/>
          <w:color w:val="333333" w:themeColor="background1"/>
          <w:szCs w:val="20"/>
        </w:rPr>
        <w:br/>
      </w:r>
    </w:p>
    <w:p w14:paraId="5110EA4D" w14:textId="3F47FF9D" w:rsidR="00B65A50" w:rsidRPr="00F041AD" w:rsidRDefault="00B65A50" w:rsidP="00383FF2">
      <w:pPr>
        <w:pStyle w:val="5BodyText"/>
        <w:ind w:left="720"/>
        <w:rPr>
          <w:rFonts w:asciiTheme="majorHAnsi" w:hAnsiTheme="majorHAnsi"/>
          <w:color w:val="333333" w:themeColor="background1"/>
          <w:szCs w:val="20"/>
        </w:rPr>
      </w:pPr>
      <w:r w:rsidRPr="00F041AD">
        <w:rPr>
          <w:rFonts w:asciiTheme="majorHAnsi" w:hAnsiTheme="majorHAnsi"/>
          <w:b/>
          <w:color w:val="333333" w:themeColor="background1"/>
          <w:szCs w:val="20"/>
        </w:rPr>
        <w:t>Champions/Key Participants:</w:t>
      </w:r>
      <w:r w:rsidRPr="00F041AD">
        <w:rPr>
          <w:rFonts w:asciiTheme="majorHAnsi" w:hAnsiTheme="majorHAnsi"/>
          <w:b/>
          <w:color w:val="333333" w:themeColor="background1"/>
          <w:szCs w:val="20"/>
        </w:rPr>
        <w:br/>
      </w: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u w:val="single"/>
        </w:rPr>
        <w:t>MN Department of Commerce</w:t>
      </w:r>
      <w:r w:rsidRPr="00F041AD">
        <w:rPr>
          <w:rFonts w:asciiTheme="majorHAnsi" w:hAnsiTheme="majorHAnsi"/>
          <w:color w:val="333333" w:themeColor="background1"/>
          <w:szCs w:val="20"/>
        </w:rPr>
        <w:t xml:space="preserve"> reviews the costs and benefits of commercial and industrial efficiency programs for inclusion in ut</w:t>
      </w:r>
      <w:r w:rsidR="00705908" w:rsidRPr="00F041AD">
        <w:rPr>
          <w:rFonts w:asciiTheme="majorHAnsi" w:hAnsiTheme="majorHAnsi"/>
          <w:color w:val="333333" w:themeColor="background1"/>
          <w:szCs w:val="20"/>
        </w:rPr>
        <w:t xml:space="preserve">ility Conservation Improvement </w:t>
      </w:r>
      <w:r w:rsidRPr="00F041AD">
        <w:rPr>
          <w:rFonts w:asciiTheme="majorHAnsi" w:hAnsiTheme="majorHAnsi"/>
          <w:color w:val="333333" w:themeColor="background1"/>
          <w:szCs w:val="20"/>
        </w:rPr>
        <w:t xml:space="preserve">Programs (CIP) and provides funding through the Conservation Applied Research and Development (CARD) program </w:t>
      </w:r>
    </w:p>
    <w:p w14:paraId="077ED69F" w14:textId="77777777" w:rsidR="00B65A50" w:rsidRPr="00F041AD" w:rsidRDefault="00B65A50" w:rsidP="00383FF2">
      <w:pPr>
        <w:pStyle w:val="5BodyText"/>
        <w:ind w:left="720"/>
        <w:rPr>
          <w:rFonts w:asciiTheme="majorHAnsi" w:hAnsiTheme="majorHAnsi"/>
          <w:color w:val="333333" w:themeColor="background1"/>
          <w:szCs w:val="20"/>
          <w:u w:val="single"/>
        </w:rPr>
      </w:pPr>
      <w:r w:rsidRPr="00F041AD">
        <w:rPr>
          <w:rFonts w:asciiTheme="majorHAnsi" w:hAnsiTheme="majorHAnsi"/>
          <w:color w:val="333333" w:themeColor="background1"/>
          <w:szCs w:val="20"/>
        </w:rPr>
        <w:lastRenderedPageBreak/>
        <w:t xml:space="preserve">- </w:t>
      </w:r>
      <w:r w:rsidRPr="00F041AD">
        <w:rPr>
          <w:rFonts w:asciiTheme="majorHAnsi" w:hAnsiTheme="majorHAnsi"/>
          <w:color w:val="333333" w:themeColor="background1"/>
          <w:szCs w:val="20"/>
          <w:u w:val="single"/>
        </w:rPr>
        <w:t>DOE Advanced Manufacturing Office</w:t>
      </w:r>
    </w:p>
    <w:p w14:paraId="0CB281B1" w14:textId="7ACFE3F4" w:rsidR="00B65A50" w:rsidRPr="00F041AD" w:rsidRDefault="00B65A50" w:rsidP="00383FF2">
      <w:pPr>
        <w:pStyle w:val="5BodyText"/>
        <w:ind w:left="720"/>
        <w:rPr>
          <w:rFonts w:asciiTheme="majorHAnsi" w:hAnsiTheme="majorHAnsi"/>
          <w:color w:val="333333" w:themeColor="background1"/>
          <w:szCs w:val="20"/>
          <w:u w:val="single"/>
        </w:rPr>
      </w:pP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u w:val="single"/>
        </w:rPr>
        <w:t>Iowa State Industrial Assessment Center</w:t>
      </w:r>
      <w:r w:rsidRPr="00F041AD">
        <w:rPr>
          <w:rFonts w:asciiTheme="majorHAnsi" w:hAnsiTheme="majorHAnsi"/>
          <w:color w:val="333333" w:themeColor="background1"/>
          <w:szCs w:val="20"/>
        </w:rPr>
        <w:t xml:space="preserve"> provides no cost energy assessments to small and medium sized manufacturers</w:t>
      </w:r>
    </w:p>
    <w:p w14:paraId="37261B20" w14:textId="7615B01E" w:rsidR="00B65A50" w:rsidRPr="00F041AD" w:rsidRDefault="00B65A50" w:rsidP="00383FF2">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r w:rsidR="00705908" w:rsidRPr="001F63F9">
        <w:rPr>
          <w:rFonts w:asciiTheme="majorHAnsi" w:hAnsiTheme="majorHAnsi"/>
          <w:color w:val="333333" w:themeColor="background1"/>
          <w:szCs w:val="20"/>
          <w:u w:val="single"/>
        </w:rPr>
        <w:t xml:space="preserve">Minnesota Technical Assistance </w:t>
      </w:r>
      <w:r w:rsidR="00302A7B">
        <w:rPr>
          <w:rFonts w:asciiTheme="majorHAnsi" w:hAnsiTheme="majorHAnsi"/>
          <w:color w:val="333333" w:themeColor="background1"/>
          <w:szCs w:val="20"/>
          <w:u w:val="single"/>
        </w:rPr>
        <w:t>Program</w:t>
      </w:r>
      <w:r w:rsidR="00302A7B" w:rsidRPr="00F041AD">
        <w:rPr>
          <w:rFonts w:asciiTheme="majorHAnsi" w:hAnsiTheme="majorHAnsi"/>
          <w:color w:val="333333" w:themeColor="background1"/>
          <w:szCs w:val="20"/>
        </w:rPr>
        <w:t xml:space="preserve"> </w:t>
      </w:r>
      <w:r w:rsidR="00705908" w:rsidRPr="00F041AD">
        <w:rPr>
          <w:rFonts w:asciiTheme="majorHAnsi" w:hAnsiTheme="majorHAnsi"/>
          <w:color w:val="333333" w:themeColor="background1"/>
          <w:szCs w:val="20"/>
        </w:rPr>
        <w:t>(</w:t>
      </w:r>
      <w:proofErr w:type="spellStart"/>
      <w:r w:rsidRPr="00F041AD">
        <w:rPr>
          <w:rFonts w:asciiTheme="majorHAnsi" w:hAnsiTheme="majorHAnsi"/>
          <w:color w:val="333333" w:themeColor="background1"/>
          <w:szCs w:val="20"/>
        </w:rPr>
        <w:t>MnTAP</w:t>
      </w:r>
      <w:proofErr w:type="spellEnd"/>
      <w:r w:rsidR="00705908" w:rsidRPr="00F041AD">
        <w:rPr>
          <w:rFonts w:asciiTheme="majorHAnsi" w:hAnsiTheme="majorHAnsi"/>
          <w:color w:val="333333" w:themeColor="background1"/>
          <w:szCs w:val="20"/>
        </w:rPr>
        <w:t>)</w:t>
      </w:r>
      <w:r w:rsidRPr="00F041AD">
        <w:rPr>
          <w:rFonts w:asciiTheme="majorHAnsi" w:hAnsiTheme="majorHAnsi"/>
          <w:color w:val="333333" w:themeColor="background1"/>
          <w:szCs w:val="20"/>
        </w:rPr>
        <w:t xml:space="preserve"> (pending additional funding) works with MN businesses to develop and implement industry-specific solutions to reduce energy use and costs through on-site technical assistance with engineering staff and student interns.</w:t>
      </w:r>
    </w:p>
    <w:p w14:paraId="4BEB5A77" w14:textId="1C0E3ED7" w:rsidR="00B65A50" w:rsidRPr="00F041AD" w:rsidRDefault="00B65A50" w:rsidP="00383FF2">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u w:val="single"/>
        </w:rPr>
        <w:t>Minnesota Chamber of Commerce</w:t>
      </w:r>
      <w:r w:rsidRPr="00F041AD">
        <w:rPr>
          <w:rFonts w:asciiTheme="majorHAnsi" w:hAnsiTheme="majorHAnsi"/>
          <w:color w:val="333333" w:themeColor="background1"/>
          <w:szCs w:val="20"/>
        </w:rPr>
        <w:t xml:space="preserve">, through the </w:t>
      </w:r>
      <w:hyperlink r:id="rId225" w:history="1">
        <w:r w:rsidRPr="00F041AD">
          <w:rPr>
            <w:rStyle w:val="Hyperlink"/>
            <w:rFonts w:asciiTheme="majorHAnsi" w:hAnsiTheme="majorHAnsi"/>
            <w:color w:val="333333" w:themeColor="background1"/>
            <w:szCs w:val="20"/>
          </w:rPr>
          <w:t>MN Energy Smart</w:t>
        </w:r>
      </w:hyperlink>
      <w:r w:rsidRPr="00F041AD">
        <w:rPr>
          <w:rFonts w:asciiTheme="majorHAnsi" w:hAnsiTheme="majorHAnsi"/>
          <w:color w:val="333333" w:themeColor="background1"/>
          <w:szCs w:val="20"/>
        </w:rPr>
        <w:t xml:space="preserve"> program helps Minnesota businesses find ways to save energy and connect to financial incentives. The program is funded through state-approved utility conservation programs.</w:t>
      </w:r>
    </w:p>
    <w:p w14:paraId="1EFA57C8" w14:textId="698D7866" w:rsidR="00B65A50" w:rsidRPr="00F041AD" w:rsidRDefault="00B65A50" w:rsidP="00383FF2">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hyperlink r:id="rId226" w:history="1">
        <w:r w:rsidRPr="00F041AD">
          <w:rPr>
            <w:rStyle w:val="Hyperlink"/>
            <w:rFonts w:asciiTheme="majorHAnsi" w:hAnsiTheme="majorHAnsi"/>
            <w:color w:val="333333" w:themeColor="background1"/>
            <w:szCs w:val="20"/>
          </w:rPr>
          <w:t>CEE</w:t>
        </w:r>
      </w:hyperlink>
      <w:r w:rsidRPr="00F041AD">
        <w:rPr>
          <w:rFonts w:asciiTheme="majorHAnsi" w:hAnsiTheme="majorHAnsi"/>
          <w:color w:val="333333" w:themeColor="background1"/>
          <w:szCs w:val="20"/>
        </w:rPr>
        <w:t xml:space="preserve"> administers a variety of small business efficiency programs funded through state-approved utility conservation programs.</w:t>
      </w:r>
    </w:p>
    <w:p w14:paraId="05065140" w14:textId="7350C707" w:rsidR="00B65A50" w:rsidRPr="00F041AD" w:rsidRDefault="00B65A50" w:rsidP="00383FF2">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hyperlink r:id="rId227" w:history="1">
        <w:r w:rsidRPr="00F041AD">
          <w:rPr>
            <w:rStyle w:val="Hyperlink"/>
            <w:rFonts w:asciiTheme="majorHAnsi" w:hAnsiTheme="majorHAnsi"/>
            <w:color w:val="333333" w:themeColor="background1"/>
            <w:szCs w:val="20"/>
          </w:rPr>
          <w:t>Enterprise Minnesota</w:t>
        </w:r>
      </w:hyperlink>
      <w:r w:rsidRPr="00F041AD">
        <w:rPr>
          <w:rFonts w:asciiTheme="majorHAnsi" w:hAnsiTheme="majorHAnsi"/>
          <w:color w:val="333333" w:themeColor="background1"/>
          <w:szCs w:val="20"/>
        </w:rPr>
        <w:t xml:space="preserve"> assists manufacturers to improve process and operational efficiency.</w:t>
      </w:r>
    </w:p>
    <w:p w14:paraId="5E67C390" w14:textId="7CF05FE9" w:rsidR="00B65A50" w:rsidRPr="00F041AD" w:rsidRDefault="00B65A50" w:rsidP="00383FF2">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hyperlink r:id="rId228" w:history="1">
        <w:r w:rsidRPr="00F041AD">
          <w:rPr>
            <w:rStyle w:val="Hyperlink"/>
            <w:rFonts w:asciiTheme="majorHAnsi" w:hAnsiTheme="majorHAnsi"/>
            <w:color w:val="333333" w:themeColor="background1"/>
            <w:szCs w:val="20"/>
          </w:rPr>
          <w:t>Saint Paul Port Authority</w:t>
        </w:r>
      </w:hyperlink>
      <w:r w:rsidRPr="00F041AD">
        <w:rPr>
          <w:rFonts w:asciiTheme="majorHAnsi" w:hAnsiTheme="majorHAnsi"/>
          <w:color w:val="333333" w:themeColor="background1"/>
          <w:szCs w:val="20"/>
        </w:rPr>
        <w:t xml:space="preserve"> administers the Trillion BTU loan program and PACE to finance energy efficiency projects.</w:t>
      </w:r>
    </w:p>
    <w:p w14:paraId="4DC657CF" w14:textId="4844CAAA" w:rsidR="00B65A50" w:rsidRDefault="00B65A50" w:rsidP="00383FF2">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t xml:space="preserve">- </w:t>
      </w:r>
      <w:hyperlink r:id="rId229" w:history="1">
        <w:r w:rsidRPr="00F041AD">
          <w:rPr>
            <w:rStyle w:val="Hyperlink"/>
            <w:rFonts w:asciiTheme="majorHAnsi" w:hAnsiTheme="majorHAnsi"/>
            <w:color w:val="333333" w:themeColor="background1"/>
            <w:szCs w:val="20"/>
          </w:rPr>
          <w:t>Environmental Initiative</w:t>
        </w:r>
      </w:hyperlink>
      <w:r w:rsidRPr="00F041AD">
        <w:rPr>
          <w:rFonts w:asciiTheme="majorHAnsi" w:hAnsiTheme="majorHAnsi"/>
          <w:color w:val="333333" w:themeColor="background1"/>
          <w:szCs w:val="20"/>
        </w:rPr>
        <w:t xml:space="preserve"> offers sustainability best-practice exchange at their Business &amp; Environment Series events.</w:t>
      </w:r>
    </w:p>
    <w:p w14:paraId="62FAE4BC" w14:textId="521B4CA0" w:rsidR="00302A7B" w:rsidRDefault="00302A7B" w:rsidP="00302A7B">
      <w:pPr>
        <w:pStyle w:val="5BodyText"/>
        <w:ind w:left="720"/>
        <w:rPr>
          <w:rFonts w:asciiTheme="majorHAnsi" w:hAnsiTheme="majorHAnsi"/>
          <w:szCs w:val="20"/>
        </w:rPr>
      </w:pPr>
      <w:r>
        <w:rPr>
          <w:rFonts w:asciiTheme="majorHAnsi" w:hAnsiTheme="majorHAnsi"/>
          <w:szCs w:val="20"/>
        </w:rPr>
        <w:t xml:space="preserve">- </w:t>
      </w:r>
      <w:hyperlink r:id="rId230" w:history="1">
        <w:r w:rsidRPr="00363B42">
          <w:rPr>
            <w:rStyle w:val="Hyperlink"/>
            <w:rFonts w:asciiTheme="majorHAnsi" w:hAnsiTheme="majorHAnsi"/>
            <w:szCs w:val="20"/>
          </w:rPr>
          <w:t>Clean Energy Resource Teams</w:t>
        </w:r>
      </w:hyperlink>
      <w:r>
        <w:rPr>
          <w:rFonts w:asciiTheme="majorHAnsi" w:hAnsiTheme="majorHAnsi"/>
          <w:szCs w:val="20"/>
          <w:u w:val="single"/>
        </w:rPr>
        <w:t xml:space="preserve"> </w:t>
      </w:r>
      <w:r w:rsidRPr="001F63F9">
        <w:rPr>
          <w:rFonts w:asciiTheme="majorHAnsi" w:hAnsiTheme="majorHAnsi"/>
          <w:color w:val="333333" w:themeColor="background1"/>
          <w:szCs w:val="20"/>
        </w:rPr>
        <w:t xml:space="preserve">helps </w:t>
      </w:r>
      <w:r w:rsidRPr="001F63F9">
        <w:rPr>
          <w:rFonts w:asciiTheme="majorHAnsi" w:hAnsiTheme="majorHAnsi"/>
          <w:color w:val="333333" w:themeColor="background1"/>
          <w:szCs w:val="20"/>
        </w:rPr>
        <w:t>people connect</w:t>
      </w:r>
      <w:r w:rsidRPr="001F63F9">
        <w:rPr>
          <w:rFonts w:asciiTheme="majorHAnsi" w:hAnsiTheme="majorHAnsi"/>
          <w:color w:val="333333" w:themeColor="background1"/>
          <w:szCs w:val="20"/>
        </w:rPr>
        <w:t xml:space="preserve"> with energy resources in seven Minnesota regions. Each region has a team, a coordinator, and a steering committee. The regional teams are diverse—business owners, farmers, members of environmental groups, local utility representatives, local government staff and elected leaders, academics</w:t>
      </w:r>
      <w:r>
        <w:rPr>
          <w:rFonts w:asciiTheme="majorHAnsi" w:hAnsiTheme="majorHAnsi"/>
          <w:szCs w:val="20"/>
        </w:rPr>
        <w:t>.</w:t>
      </w:r>
    </w:p>
    <w:p w14:paraId="4E25FCFA" w14:textId="77777777" w:rsidR="00302A7B" w:rsidRPr="00C01B55" w:rsidRDefault="00302A7B" w:rsidP="00302A7B">
      <w:pPr>
        <w:pStyle w:val="5BodyText"/>
        <w:ind w:left="720"/>
        <w:rPr>
          <w:rFonts w:asciiTheme="majorHAnsi" w:hAnsiTheme="majorHAnsi"/>
          <w:szCs w:val="20"/>
        </w:rPr>
      </w:pPr>
      <w:r>
        <w:rPr>
          <w:rFonts w:asciiTheme="majorHAnsi" w:hAnsiTheme="majorHAnsi"/>
          <w:szCs w:val="20"/>
        </w:rPr>
        <w:t xml:space="preserve">- </w:t>
      </w:r>
      <w:hyperlink r:id="rId231" w:history="1">
        <w:r w:rsidRPr="00C01B55">
          <w:rPr>
            <w:rStyle w:val="Hyperlink"/>
            <w:rFonts w:asciiTheme="majorHAnsi" w:hAnsiTheme="majorHAnsi"/>
            <w:szCs w:val="20"/>
          </w:rPr>
          <w:t>USDA Minnesota Rural Development Office</w:t>
        </w:r>
      </w:hyperlink>
    </w:p>
    <w:p w14:paraId="00875600" w14:textId="77777777" w:rsidR="00302A7B" w:rsidRPr="00F041AD" w:rsidRDefault="00302A7B" w:rsidP="00383FF2">
      <w:pPr>
        <w:pStyle w:val="5BodyText"/>
        <w:ind w:left="720"/>
        <w:rPr>
          <w:rFonts w:asciiTheme="majorHAnsi" w:hAnsiTheme="majorHAnsi"/>
          <w:color w:val="333333" w:themeColor="background1"/>
          <w:szCs w:val="20"/>
        </w:rPr>
      </w:pPr>
    </w:p>
    <w:p w14:paraId="3AFA1523" w14:textId="77777777" w:rsidR="00B65A50" w:rsidRPr="00F041AD" w:rsidRDefault="00B65A50" w:rsidP="00627DFC">
      <w:pPr>
        <w:pStyle w:val="5BodyText"/>
        <w:rPr>
          <w:b/>
          <w:i/>
          <w:color w:val="333333" w:themeColor="background1"/>
        </w:rPr>
      </w:pPr>
    </w:p>
    <w:p w14:paraId="3C5B0B0F" w14:textId="77777777" w:rsidR="00B65A50" w:rsidRPr="00F041AD" w:rsidRDefault="00B65A50" w:rsidP="00627DFC">
      <w:pPr>
        <w:pStyle w:val="5BodyText"/>
        <w:rPr>
          <w:b/>
          <w:i/>
          <w:color w:val="333333" w:themeColor="background1"/>
        </w:rPr>
      </w:pPr>
      <w:r w:rsidRPr="00F041AD">
        <w:rPr>
          <w:b/>
          <w:i/>
          <w:color w:val="333333" w:themeColor="background1"/>
        </w:rPr>
        <w:t>Success factors</w:t>
      </w:r>
    </w:p>
    <w:p w14:paraId="4C97E066" w14:textId="76BB3747" w:rsidR="00B65A50" w:rsidRPr="00F041AD" w:rsidRDefault="00B65A50" w:rsidP="00CA15D9">
      <w:pPr>
        <w:pStyle w:val="5BodyText"/>
        <w:numPr>
          <w:ilvl w:val="0"/>
          <w:numId w:val="154"/>
        </w:numPr>
        <w:rPr>
          <w:rFonts w:asciiTheme="majorHAnsi" w:hAnsiTheme="majorHAnsi"/>
          <w:color w:val="333333" w:themeColor="background1"/>
        </w:rPr>
      </w:pPr>
      <w:r w:rsidRPr="00F041AD">
        <w:rPr>
          <w:rFonts w:asciiTheme="majorHAnsi" w:hAnsiTheme="majorHAnsi"/>
          <w:color w:val="333333" w:themeColor="background1"/>
        </w:rPr>
        <w:t>Solutions and resources are available for a wide variety of industrial sectors. Broad applicability of resources will help maximize the scale of savings.</w:t>
      </w:r>
      <w:r w:rsidRPr="00F041AD">
        <w:rPr>
          <w:rFonts w:asciiTheme="majorHAnsi" w:hAnsiTheme="majorHAnsi"/>
          <w:color w:val="333333" w:themeColor="background1"/>
        </w:rPr>
        <w:br/>
      </w:r>
    </w:p>
    <w:p w14:paraId="79887807" w14:textId="77777777" w:rsidR="00B65A50" w:rsidRPr="00F041AD" w:rsidRDefault="00B65A50" w:rsidP="00CA15D9">
      <w:pPr>
        <w:pStyle w:val="5BodyText"/>
        <w:numPr>
          <w:ilvl w:val="0"/>
          <w:numId w:val="154"/>
        </w:numPr>
        <w:rPr>
          <w:rFonts w:asciiTheme="majorHAnsi" w:hAnsiTheme="majorHAnsi"/>
          <w:color w:val="333333" w:themeColor="background1"/>
        </w:rPr>
      </w:pPr>
      <w:r w:rsidRPr="00F041AD">
        <w:rPr>
          <w:rFonts w:asciiTheme="majorHAnsi" w:hAnsiTheme="majorHAnsi"/>
          <w:color w:val="333333" w:themeColor="background1"/>
        </w:rPr>
        <w:t>Industrial energy managers are connected with resources. Resources including technical experts, utility programs, information on available technology, and data will allow managers to take action.</w:t>
      </w:r>
    </w:p>
    <w:p w14:paraId="0BC424BB" w14:textId="77777777" w:rsidR="00B65A50" w:rsidRPr="00F041AD" w:rsidRDefault="00B65A50" w:rsidP="00627DFC">
      <w:pPr>
        <w:pStyle w:val="5BodyText"/>
        <w:rPr>
          <w:b/>
          <w:i/>
          <w:color w:val="333333" w:themeColor="background1"/>
        </w:rPr>
      </w:pPr>
    </w:p>
    <w:p w14:paraId="7EC1CB15" w14:textId="77777777" w:rsidR="00B65A50" w:rsidRPr="00F041AD" w:rsidRDefault="00B65A50" w:rsidP="00627DFC">
      <w:pPr>
        <w:pStyle w:val="5BodyText"/>
        <w:rPr>
          <w:b/>
          <w:i/>
          <w:color w:val="333333" w:themeColor="background1"/>
        </w:rPr>
      </w:pPr>
      <w:r w:rsidRPr="00F041AD">
        <w:rPr>
          <w:b/>
          <w:i/>
          <w:color w:val="333333" w:themeColor="background1"/>
        </w:rPr>
        <w:t>Indicators of strategy success</w:t>
      </w:r>
    </w:p>
    <w:p w14:paraId="57A6127B" w14:textId="77777777" w:rsidR="00B65A50" w:rsidRPr="00F041AD" w:rsidRDefault="00B65A50" w:rsidP="00CA15D9">
      <w:pPr>
        <w:pStyle w:val="5BodyText"/>
        <w:numPr>
          <w:ilvl w:val="0"/>
          <w:numId w:val="155"/>
        </w:numPr>
        <w:rPr>
          <w:color w:val="333333" w:themeColor="background1"/>
        </w:rPr>
      </w:pPr>
      <w:r w:rsidRPr="00F041AD">
        <w:rPr>
          <w:color w:val="333333" w:themeColor="background1"/>
        </w:rPr>
        <w:t>Energy saved (kWh and dekatherms)</w:t>
      </w:r>
    </w:p>
    <w:p w14:paraId="191FD5D2" w14:textId="77777777" w:rsidR="00B65A50" w:rsidRPr="00F041AD" w:rsidRDefault="00B65A50" w:rsidP="00CA15D9">
      <w:pPr>
        <w:pStyle w:val="5BodyText"/>
        <w:numPr>
          <w:ilvl w:val="0"/>
          <w:numId w:val="155"/>
        </w:numPr>
        <w:rPr>
          <w:color w:val="333333" w:themeColor="background1"/>
        </w:rPr>
      </w:pPr>
      <w:r w:rsidRPr="00F041AD">
        <w:rPr>
          <w:color w:val="333333" w:themeColor="background1"/>
        </w:rPr>
        <w:t xml:space="preserve">Net cost savings </w:t>
      </w:r>
    </w:p>
    <w:p w14:paraId="755AAAA9" w14:textId="77777777" w:rsidR="00B65A50" w:rsidRPr="00F041AD" w:rsidRDefault="00B65A50" w:rsidP="00CA15D9">
      <w:pPr>
        <w:pStyle w:val="5BodyText"/>
        <w:numPr>
          <w:ilvl w:val="0"/>
          <w:numId w:val="155"/>
        </w:numPr>
        <w:rPr>
          <w:color w:val="333333" w:themeColor="background1"/>
        </w:rPr>
      </w:pPr>
      <w:r w:rsidRPr="00F041AD">
        <w:rPr>
          <w:color w:val="333333" w:themeColor="background1"/>
        </w:rPr>
        <w:t xml:space="preserve">Number of plants participating in Department of Energy’s Better Plants program </w:t>
      </w:r>
    </w:p>
    <w:p w14:paraId="7669E5E9" w14:textId="77777777" w:rsidR="00B65A50" w:rsidRPr="00F041AD" w:rsidRDefault="00B65A50" w:rsidP="00627DFC">
      <w:pPr>
        <w:pStyle w:val="5BodyText"/>
        <w:rPr>
          <w:b/>
          <w:i/>
          <w:color w:val="333333" w:themeColor="background1"/>
        </w:rPr>
      </w:pPr>
    </w:p>
    <w:p w14:paraId="647586C7" w14:textId="77777777" w:rsidR="00B65A50" w:rsidRPr="00F041AD" w:rsidRDefault="00B65A50" w:rsidP="00627DFC">
      <w:pPr>
        <w:pStyle w:val="5BodyText"/>
        <w:rPr>
          <w:b/>
          <w:i/>
          <w:color w:val="333333" w:themeColor="background1"/>
        </w:rPr>
      </w:pPr>
      <w:r w:rsidRPr="00F041AD">
        <w:rPr>
          <w:b/>
          <w:i/>
          <w:color w:val="333333" w:themeColor="background1"/>
        </w:rPr>
        <w:t>Cross-sector opportunities and synergies</w:t>
      </w:r>
    </w:p>
    <w:p w14:paraId="37916F79" w14:textId="77777777" w:rsidR="00B65A50" w:rsidRPr="00F041AD" w:rsidRDefault="00B65A50" w:rsidP="00CA15D9">
      <w:pPr>
        <w:pStyle w:val="5BodyText"/>
        <w:numPr>
          <w:ilvl w:val="0"/>
          <w:numId w:val="156"/>
        </w:numPr>
        <w:rPr>
          <w:color w:val="333333" w:themeColor="background1"/>
        </w:rPr>
      </w:pPr>
      <w:r w:rsidRPr="00F041AD">
        <w:rPr>
          <w:color w:val="333333" w:themeColor="background1"/>
        </w:rPr>
        <w:lastRenderedPageBreak/>
        <w:t xml:space="preserve">Pursuing energy efficiency at industrial facilities also provides an opportunity for facility managers to leverage the same equipment (e.g. controls technology) to enable </w:t>
      </w:r>
      <w:r w:rsidRPr="00F041AD">
        <w:rPr>
          <w:b/>
          <w:color w:val="333333" w:themeColor="background1"/>
        </w:rPr>
        <w:t>demand response</w:t>
      </w:r>
      <w:r w:rsidRPr="00F041AD">
        <w:rPr>
          <w:color w:val="333333" w:themeColor="background1"/>
        </w:rPr>
        <w:t>, potentially improving the economic case for the investment</w:t>
      </w:r>
      <w:r w:rsidRPr="00F041AD">
        <w:rPr>
          <w:color w:val="333333" w:themeColor="background1"/>
        </w:rPr>
        <w:br/>
      </w:r>
    </w:p>
    <w:p w14:paraId="616E4115" w14:textId="77777777" w:rsidR="00B65A50" w:rsidRPr="00F041AD" w:rsidRDefault="00B65A50" w:rsidP="00CA15D9">
      <w:pPr>
        <w:pStyle w:val="5BodyText"/>
        <w:numPr>
          <w:ilvl w:val="0"/>
          <w:numId w:val="156"/>
        </w:numPr>
        <w:rPr>
          <w:color w:val="333333" w:themeColor="background1"/>
        </w:rPr>
      </w:pPr>
      <w:r w:rsidRPr="00F041AD">
        <w:rPr>
          <w:color w:val="333333" w:themeColor="background1"/>
        </w:rPr>
        <w:t xml:space="preserve">Industrial energy efficiency practices and DOE technical support resources can be used for wastewater and other large commercial and institutional facilities, and to improve the economic case for </w:t>
      </w:r>
      <w:r w:rsidRPr="00F041AD">
        <w:rPr>
          <w:b/>
          <w:color w:val="333333" w:themeColor="background1"/>
        </w:rPr>
        <w:t xml:space="preserve">advanced biofuel or biobased chemical </w:t>
      </w:r>
      <w:r w:rsidRPr="00F041AD">
        <w:rPr>
          <w:color w:val="333333" w:themeColor="background1"/>
        </w:rPr>
        <w:t xml:space="preserve">production facilities. </w:t>
      </w:r>
      <w:r w:rsidRPr="00F041AD">
        <w:rPr>
          <w:color w:val="333333" w:themeColor="background1"/>
        </w:rPr>
        <w:br/>
      </w:r>
    </w:p>
    <w:p w14:paraId="5DC3B172" w14:textId="77777777" w:rsidR="00B65A50" w:rsidRPr="00F041AD" w:rsidRDefault="00B65A50" w:rsidP="00CA15D9">
      <w:pPr>
        <w:pStyle w:val="5BodyText"/>
        <w:numPr>
          <w:ilvl w:val="0"/>
          <w:numId w:val="156"/>
        </w:numPr>
        <w:rPr>
          <w:color w:val="333333" w:themeColor="background1"/>
        </w:rPr>
      </w:pPr>
      <w:r w:rsidRPr="00F041AD">
        <w:rPr>
          <w:color w:val="333333" w:themeColor="background1"/>
        </w:rPr>
        <w:t xml:space="preserve">DOE technical resources and programs can be resources for </w:t>
      </w:r>
      <w:r w:rsidRPr="00F041AD">
        <w:rPr>
          <w:b/>
          <w:color w:val="333333" w:themeColor="background1"/>
        </w:rPr>
        <w:t xml:space="preserve">local governments </w:t>
      </w:r>
      <w:r w:rsidRPr="00F041AD">
        <w:rPr>
          <w:color w:val="333333" w:themeColor="background1"/>
        </w:rPr>
        <w:t xml:space="preserve">to use in planning studies and business outreach. </w:t>
      </w:r>
    </w:p>
    <w:p w14:paraId="4D76CE54" w14:textId="77777777" w:rsidR="00B65A50" w:rsidRPr="00F041AD" w:rsidRDefault="00B65A50" w:rsidP="00627DFC">
      <w:pPr>
        <w:pStyle w:val="5BodyText"/>
        <w:rPr>
          <w:b/>
          <w:i/>
          <w:color w:val="333333" w:themeColor="background1"/>
        </w:rPr>
      </w:pPr>
    </w:p>
    <w:p w14:paraId="70A175BE" w14:textId="77777777" w:rsidR="00B65A50" w:rsidRPr="00F041AD" w:rsidRDefault="00B65A50" w:rsidP="00627DFC">
      <w:pPr>
        <w:pStyle w:val="5BodyText"/>
        <w:rPr>
          <w:b/>
          <w:i/>
          <w:color w:val="333333" w:themeColor="background1"/>
        </w:rPr>
      </w:pPr>
      <w:r w:rsidRPr="00F041AD">
        <w:rPr>
          <w:b/>
          <w:i/>
          <w:color w:val="333333" w:themeColor="background1"/>
        </w:rPr>
        <w:t>Ongoing Minnesota initiatives</w:t>
      </w:r>
    </w:p>
    <w:p w14:paraId="743AD501" w14:textId="77777777" w:rsidR="00B65A50" w:rsidRPr="00F041AD" w:rsidRDefault="006506BB" w:rsidP="00CA15D9">
      <w:pPr>
        <w:pStyle w:val="5BodyText"/>
        <w:numPr>
          <w:ilvl w:val="0"/>
          <w:numId w:val="157"/>
        </w:numPr>
        <w:rPr>
          <w:rFonts w:asciiTheme="majorHAnsi" w:hAnsiTheme="majorHAnsi"/>
          <w:color w:val="333333" w:themeColor="background1"/>
          <w:szCs w:val="20"/>
        </w:rPr>
      </w:pPr>
      <w:hyperlink r:id="rId232" w:history="1">
        <w:r w:rsidR="00B65A50" w:rsidRPr="00F041AD">
          <w:rPr>
            <w:rStyle w:val="Hyperlink"/>
            <w:rFonts w:asciiTheme="majorHAnsi" w:hAnsiTheme="majorHAnsi"/>
            <w:color w:val="333333" w:themeColor="background1"/>
            <w:szCs w:val="20"/>
          </w:rPr>
          <w:t>Utility Incentives for commercial and industrial customer efficiency</w:t>
        </w:r>
      </w:hyperlink>
      <w:r w:rsidR="00B65A50" w:rsidRPr="00F041AD">
        <w:rPr>
          <w:rFonts w:asciiTheme="majorHAnsi" w:hAnsiTheme="majorHAnsi"/>
          <w:color w:val="333333" w:themeColor="background1"/>
          <w:szCs w:val="20"/>
        </w:rPr>
        <w:t xml:space="preserve">: Minnesota electric utilities and natural gas utilities are required to invest at least 1.5 percent and 0.5 percent of their gross operating revenues, respectively, on Conservation Improvement Programs (CIP) each year. </w:t>
      </w:r>
    </w:p>
    <w:p w14:paraId="100A8386" w14:textId="30F5AB57" w:rsidR="00B65A50" w:rsidRPr="00F041AD" w:rsidRDefault="00B65A50" w:rsidP="00CA15D9">
      <w:pPr>
        <w:pStyle w:val="5BodyText"/>
        <w:numPr>
          <w:ilvl w:val="0"/>
          <w:numId w:val="157"/>
        </w:numPr>
        <w:rPr>
          <w:rFonts w:asciiTheme="majorHAnsi" w:hAnsiTheme="majorHAnsi"/>
          <w:color w:val="333333" w:themeColor="background1"/>
          <w:szCs w:val="20"/>
        </w:rPr>
      </w:pPr>
      <w:r w:rsidRPr="00F041AD">
        <w:rPr>
          <w:rFonts w:asciiTheme="majorHAnsi" w:hAnsiTheme="majorHAnsi"/>
          <w:color w:val="333333" w:themeColor="background1"/>
          <w:szCs w:val="20"/>
          <w:u w:val="single"/>
        </w:rPr>
        <w:t xml:space="preserve">Minnesota Technical Assistance Program </w:t>
      </w:r>
      <w:r w:rsidRPr="00F041AD">
        <w:rPr>
          <w:rFonts w:asciiTheme="majorHAnsi" w:hAnsiTheme="majorHAnsi"/>
          <w:color w:val="333333" w:themeColor="background1"/>
          <w:szCs w:val="20"/>
        </w:rPr>
        <w:t>at the University of Minnesota works with MN businesses to develop and implement industry-specific solutions to prevent pollution, maximize efficient use of resources, and reduce energy use and costs through on-site technical assistance with engineering staff and student interns.</w:t>
      </w:r>
      <w:r w:rsidRPr="00F041AD">
        <w:rPr>
          <w:rStyle w:val="EndnoteReference"/>
          <w:color w:val="333333" w:themeColor="background1"/>
        </w:rPr>
        <w:endnoteReference w:id="285"/>
      </w:r>
      <w:r w:rsidRPr="00F041AD">
        <w:rPr>
          <w:rFonts w:asciiTheme="majorHAnsi" w:hAnsiTheme="majorHAnsi"/>
          <w:color w:val="333333" w:themeColor="background1"/>
          <w:szCs w:val="20"/>
        </w:rPr>
        <w:t xml:space="preserve"> </w:t>
      </w:r>
    </w:p>
    <w:p w14:paraId="7E645E67" w14:textId="77777777" w:rsidR="00B65A50" w:rsidRPr="00F041AD" w:rsidRDefault="00B65A50" w:rsidP="00CA15D9">
      <w:pPr>
        <w:pStyle w:val="5BodyText"/>
        <w:numPr>
          <w:ilvl w:val="0"/>
          <w:numId w:val="157"/>
        </w:numPr>
        <w:rPr>
          <w:rFonts w:asciiTheme="majorHAnsi" w:hAnsiTheme="majorHAnsi"/>
          <w:color w:val="333333" w:themeColor="background1"/>
          <w:szCs w:val="20"/>
        </w:rPr>
      </w:pPr>
      <w:r w:rsidRPr="00F041AD">
        <w:rPr>
          <w:rFonts w:asciiTheme="majorHAnsi" w:hAnsiTheme="majorHAnsi"/>
          <w:color w:val="333333" w:themeColor="background1"/>
          <w:szCs w:val="20"/>
        </w:rPr>
        <w:t xml:space="preserve">The </w:t>
      </w:r>
      <w:hyperlink r:id="rId233" w:history="1">
        <w:r w:rsidRPr="00F041AD">
          <w:rPr>
            <w:rStyle w:val="Hyperlink"/>
            <w:rFonts w:asciiTheme="majorHAnsi" w:hAnsiTheme="majorHAnsi"/>
            <w:color w:val="333333" w:themeColor="background1"/>
            <w:szCs w:val="20"/>
          </w:rPr>
          <w:t>MN Energy Smart</w:t>
        </w:r>
      </w:hyperlink>
      <w:r w:rsidRPr="00F041AD">
        <w:rPr>
          <w:rFonts w:asciiTheme="majorHAnsi" w:hAnsiTheme="majorHAnsi"/>
          <w:color w:val="333333" w:themeColor="background1"/>
          <w:szCs w:val="20"/>
        </w:rPr>
        <w:t xml:space="preserve"> program, from the Minnesota Chamber of Commerce , helps Minnesota businesses find ways to save energy and connect to financial incentives. The program is funded through state-approved utility conservation programs.</w:t>
      </w:r>
    </w:p>
    <w:p w14:paraId="6B86947E" w14:textId="77777777" w:rsidR="00B65A50" w:rsidRPr="00F041AD" w:rsidRDefault="006506BB" w:rsidP="00CA15D9">
      <w:pPr>
        <w:pStyle w:val="5BodyText"/>
        <w:numPr>
          <w:ilvl w:val="0"/>
          <w:numId w:val="157"/>
        </w:numPr>
        <w:rPr>
          <w:rFonts w:asciiTheme="majorHAnsi" w:hAnsiTheme="majorHAnsi"/>
          <w:color w:val="333333" w:themeColor="background1"/>
          <w:szCs w:val="20"/>
        </w:rPr>
      </w:pPr>
      <w:hyperlink r:id="rId234" w:history="1">
        <w:r w:rsidR="00B65A50" w:rsidRPr="00F041AD">
          <w:rPr>
            <w:rStyle w:val="Hyperlink"/>
            <w:rFonts w:asciiTheme="majorHAnsi" w:hAnsiTheme="majorHAnsi"/>
            <w:color w:val="333333" w:themeColor="background1"/>
            <w:szCs w:val="20"/>
          </w:rPr>
          <w:t>CEE</w:t>
        </w:r>
      </w:hyperlink>
      <w:r w:rsidR="00B65A50" w:rsidRPr="00F041AD">
        <w:rPr>
          <w:rFonts w:asciiTheme="majorHAnsi" w:hAnsiTheme="majorHAnsi"/>
          <w:color w:val="333333" w:themeColor="background1"/>
          <w:szCs w:val="20"/>
        </w:rPr>
        <w:t xml:space="preserve"> administers a variety of small business efficiency programs funded through state-approved utility conservation programs.</w:t>
      </w:r>
    </w:p>
    <w:p w14:paraId="24FBA860" w14:textId="77777777" w:rsidR="00B65A50" w:rsidRPr="00F041AD" w:rsidRDefault="006506BB" w:rsidP="00CA15D9">
      <w:pPr>
        <w:pStyle w:val="5BodyText"/>
        <w:numPr>
          <w:ilvl w:val="0"/>
          <w:numId w:val="157"/>
        </w:numPr>
        <w:rPr>
          <w:rFonts w:asciiTheme="majorHAnsi" w:hAnsiTheme="majorHAnsi"/>
          <w:color w:val="333333" w:themeColor="background1"/>
          <w:szCs w:val="20"/>
        </w:rPr>
      </w:pPr>
      <w:hyperlink r:id="rId235" w:history="1">
        <w:r w:rsidR="00B65A50" w:rsidRPr="00F041AD">
          <w:rPr>
            <w:rStyle w:val="Hyperlink"/>
            <w:rFonts w:asciiTheme="majorHAnsi" w:hAnsiTheme="majorHAnsi"/>
            <w:color w:val="333333" w:themeColor="background1"/>
            <w:szCs w:val="20"/>
          </w:rPr>
          <w:t>Enterprise Minnesota</w:t>
        </w:r>
      </w:hyperlink>
      <w:r w:rsidR="00B65A50" w:rsidRPr="00F041AD">
        <w:rPr>
          <w:rFonts w:asciiTheme="majorHAnsi" w:hAnsiTheme="majorHAnsi"/>
          <w:color w:val="333333" w:themeColor="background1"/>
          <w:szCs w:val="20"/>
        </w:rPr>
        <w:t xml:space="preserve"> assists manufacturers to improve process and operational efficiency.</w:t>
      </w:r>
    </w:p>
    <w:p w14:paraId="6577356D" w14:textId="77777777" w:rsidR="00B65A50" w:rsidRPr="00F041AD" w:rsidRDefault="006506BB" w:rsidP="00CA15D9">
      <w:pPr>
        <w:pStyle w:val="5BodyText"/>
        <w:numPr>
          <w:ilvl w:val="0"/>
          <w:numId w:val="157"/>
        </w:numPr>
        <w:rPr>
          <w:rFonts w:asciiTheme="majorHAnsi" w:hAnsiTheme="majorHAnsi"/>
          <w:color w:val="333333" w:themeColor="background1"/>
          <w:szCs w:val="20"/>
        </w:rPr>
      </w:pPr>
      <w:hyperlink r:id="rId236" w:history="1">
        <w:r w:rsidR="00B65A50" w:rsidRPr="00F041AD">
          <w:rPr>
            <w:rStyle w:val="Hyperlink"/>
            <w:rFonts w:asciiTheme="majorHAnsi" w:hAnsiTheme="majorHAnsi"/>
            <w:color w:val="333333" w:themeColor="background1"/>
            <w:szCs w:val="20"/>
          </w:rPr>
          <w:t>Saint Paul Port Authority</w:t>
        </w:r>
      </w:hyperlink>
      <w:r w:rsidR="00B65A50" w:rsidRPr="00F041AD">
        <w:rPr>
          <w:rFonts w:asciiTheme="majorHAnsi" w:hAnsiTheme="majorHAnsi"/>
          <w:color w:val="333333" w:themeColor="background1"/>
          <w:szCs w:val="20"/>
        </w:rPr>
        <w:t xml:space="preserve"> administers the Trillion BTU loan program and PACE to finance energy efficiency projects.</w:t>
      </w:r>
    </w:p>
    <w:p w14:paraId="29498C89" w14:textId="77777777" w:rsidR="00B65A50" w:rsidRPr="00F041AD" w:rsidRDefault="006506BB" w:rsidP="00CA15D9">
      <w:pPr>
        <w:pStyle w:val="5BodyText"/>
        <w:numPr>
          <w:ilvl w:val="0"/>
          <w:numId w:val="157"/>
        </w:numPr>
        <w:rPr>
          <w:rFonts w:asciiTheme="majorHAnsi" w:hAnsiTheme="majorHAnsi"/>
          <w:color w:val="333333" w:themeColor="background1"/>
          <w:szCs w:val="20"/>
        </w:rPr>
      </w:pPr>
      <w:hyperlink r:id="rId237" w:history="1">
        <w:r w:rsidR="00B65A50" w:rsidRPr="00F041AD">
          <w:rPr>
            <w:rStyle w:val="Hyperlink"/>
            <w:rFonts w:asciiTheme="majorHAnsi" w:hAnsiTheme="majorHAnsi"/>
            <w:color w:val="333333" w:themeColor="background1"/>
            <w:szCs w:val="20"/>
          </w:rPr>
          <w:t>Environmental Initiative</w:t>
        </w:r>
      </w:hyperlink>
      <w:r w:rsidR="00B65A50" w:rsidRPr="00F041AD">
        <w:rPr>
          <w:rFonts w:asciiTheme="majorHAnsi" w:hAnsiTheme="majorHAnsi"/>
          <w:color w:val="333333" w:themeColor="background1"/>
          <w:szCs w:val="20"/>
        </w:rPr>
        <w:t xml:space="preserve"> offers sustainability best-practice exchange at their Business &amp; Environment Series events.</w:t>
      </w:r>
    </w:p>
    <w:p w14:paraId="53C51DE7" w14:textId="77777777" w:rsidR="00B65A50" w:rsidRPr="00F041AD" w:rsidRDefault="00B65A50" w:rsidP="00627DFC">
      <w:pPr>
        <w:pStyle w:val="5BodyText"/>
        <w:rPr>
          <w:b/>
          <w:i/>
          <w:color w:val="333333" w:themeColor="background1"/>
        </w:rPr>
      </w:pPr>
    </w:p>
    <w:p w14:paraId="099C4A5D" w14:textId="77777777" w:rsidR="00B65A50" w:rsidRPr="00F041AD" w:rsidRDefault="00B65A50" w:rsidP="00627DFC">
      <w:pPr>
        <w:pStyle w:val="5BodyText"/>
        <w:rPr>
          <w:b/>
          <w:i/>
          <w:color w:val="333333" w:themeColor="background1"/>
        </w:rPr>
      </w:pPr>
      <w:r w:rsidRPr="00F041AD">
        <w:rPr>
          <w:b/>
          <w:i/>
          <w:color w:val="333333" w:themeColor="background1"/>
        </w:rPr>
        <w:t>Other related resources</w:t>
      </w:r>
    </w:p>
    <w:p w14:paraId="1FBE9D32" w14:textId="77777777" w:rsidR="00B65A50" w:rsidRPr="00F041AD" w:rsidRDefault="00B65A50" w:rsidP="00CA15D9">
      <w:pPr>
        <w:pStyle w:val="5BodyText"/>
        <w:numPr>
          <w:ilvl w:val="0"/>
          <w:numId w:val="158"/>
        </w:numPr>
        <w:rPr>
          <w:color w:val="333333" w:themeColor="background1"/>
        </w:rPr>
      </w:pPr>
      <w:r w:rsidRPr="00F041AD">
        <w:rPr>
          <w:color w:val="333333" w:themeColor="background1"/>
        </w:rPr>
        <w:t>The US DOE provides many energy efficiency resources</w:t>
      </w:r>
      <w:r w:rsidRPr="00F041AD">
        <w:rPr>
          <w:rStyle w:val="EndnoteReference"/>
          <w:rFonts w:asciiTheme="minorHAnsi" w:hAnsiTheme="minorHAnsi"/>
          <w:color w:val="333333" w:themeColor="background1"/>
        </w:rPr>
        <w:endnoteReference w:id="286"/>
      </w:r>
      <w:r w:rsidRPr="00F041AD">
        <w:rPr>
          <w:color w:val="333333" w:themeColor="background1"/>
        </w:rPr>
        <w:t>, including:</w:t>
      </w:r>
    </w:p>
    <w:p w14:paraId="6EA140C8" w14:textId="77777777" w:rsidR="00B65A50" w:rsidRPr="00F041AD" w:rsidRDefault="00B65A50" w:rsidP="00CA15D9">
      <w:pPr>
        <w:pStyle w:val="5BodyText"/>
        <w:numPr>
          <w:ilvl w:val="1"/>
          <w:numId w:val="158"/>
        </w:numPr>
        <w:rPr>
          <w:color w:val="333333" w:themeColor="background1"/>
        </w:rPr>
      </w:pPr>
      <w:proofErr w:type="spellStart"/>
      <w:r w:rsidRPr="00F041AD">
        <w:rPr>
          <w:color w:val="333333" w:themeColor="background1"/>
        </w:rPr>
        <w:t>eGuide</w:t>
      </w:r>
      <w:proofErr w:type="spellEnd"/>
      <w:r w:rsidRPr="00F041AD">
        <w:rPr>
          <w:rStyle w:val="EndnoteReference"/>
          <w:rFonts w:asciiTheme="minorHAnsi" w:hAnsiTheme="minorHAnsi"/>
          <w:color w:val="333333" w:themeColor="background1"/>
        </w:rPr>
        <w:endnoteReference w:id="287"/>
      </w:r>
      <w:r w:rsidRPr="00F041AD">
        <w:rPr>
          <w:color w:val="333333" w:themeColor="background1"/>
        </w:rPr>
        <w:t xml:space="preserve">, an online tool for developing Strategic Energy Management (SEM) plans </w:t>
      </w:r>
    </w:p>
    <w:p w14:paraId="3B3F2CA5" w14:textId="77777777" w:rsidR="00B65A50" w:rsidRPr="00F041AD" w:rsidRDefault="00B65A50" w:rsidP="00CA15D9">
      <w:pPr>
        <w:pStyle w:val="5BodyText"/>
        <w:numPr>
          <w:ilvl w:val="1"/>
          <w:numId w:val="158"/>
        </w:numPr>
        <w:rPr>
          <w:color w:val="333333" w:themeColor="background1"/>
        </w:rPr>
      </w:pPr>
      <w:r w:rsidRPr="00F041AD">
        <w:rPr>
          <w:color w:val="333333" w:themeColor="background1"/>
        </w:rPr>
        <w:t>The Superior Energy Performance (SEP) Industrial Ratepayer-funded Program Accelerator Toolkit</w:t>
      </w:r>
      <w:r w:rsidRPr="00F041AD">
        <w:rPr>
          <w:rStyle w:val="EndnoteReference"/>
          <w:rFonts w:asciiTheme="minorHAnsi" w:hAnsiTheme="minorHAnsi"/>
          <w:color w:val="333333" w:themeColor="background1"/>
        </w:rPr>
        <w:endnoteReference w:id="288"/>
      </w:r>
      <w:r w:rsidRPr="00F041AD">
        <w:rPr>
          <w:color w:val="333333" w:themeColor="background1"/>
        </w:rPr>
        <w:t xml:space="preserve"> provides sample program design, cost effectiveness considerations and other resources to promote the inclusion of SEP into efficiency programs.</w:t>
      </w:r>
    </w:p>
    <w:p w14:paraId="01A096AE" w14:textId="77777777" w:rsidR="00B65A50" w:rsidRPr="00F041AD" w:rsidRDefault="00B65A50" w:rsidP="00CA15D9">
      <w:pPr>
        <w:pStyle w:val="5BodyText"/>
        <w:numPr>
          <w:ilvl w:val="1"/>
          <w:numId w:val="158"/>
        </w:numPr>
        <w:rPr>
          <w:color w:val="333333" w:themeColor="background1"/>
        </w:rPr>
      </w:pPr>
      <w:r w:rsidRPr="00F041AD">
        <w:rPr>
          <w:color w:val="333333" w:themeColor="background1"/>
        </w:rPr>
        <w:lastRenderedPageBreak/>
        <w:t>Industrial Assessment Center resources</w:t>
      </w:r>
      <w:r w:rsidRPr="00F041AD">
        <w:rPr>
          <w:rStyle w:val="EndnoteReference"/>
          <w:rFonts w:asciiTheme="minorHAnsi" w:hAnsiTheme="minorHAnsi"/>
          <w:color w:val="333333" w:themeColor="background1"/>
        </w:rPr>
        <w:endnoteReference w:id="289"/>
      </w:r>
      <w:r w:rsidRPr="00F041AD">
        <w:rPr>
          <w:color w:val="333333" w:themeColor="background1"/>
        </w:rPr>
        <w:t>.</w:t>
      </w:r>
    </w:p>
    <w:p w14:paraId="08C1316F" w14:textId="77777777" w:rsidR="00B65A50" w:rsidRPr="00F041AD" w:rsidRDefault="00B65A50" w:rsidP="00CA15D9">
      <w:pPr>
        <w:pStyle w:val="5BodyText"/>
        <w:numPr>
          <w:ilvl w:val="1"/>
          <w:numId w:val="158"/>
        </w:numPr>
        <w:rPr>
          <w:color w:val="333333" w:themeColor="background1"/>
        </w:rPr>
      </w:pPr>
      <w:r w:rsidRPr="00F041AD">
        <w:rPr>
          <w:color w:val="333333" w:themeColor="background1"/>
        </w:rPr>
        <w:t>DOE also provides various other tools for industrials</w:t>
      </w:r>
      <w:r w:rsidRPr="00F041AD">
        <w:rPr>
          <w:rStyle w:val="EndnoteReference"/>
          <w:rFonts w:asciiTheme="minorHAnsi" w:hAnsiTheme="minorHAnsi"/>
          <w:color w:val="333333" w:themeColor="background1"/>
        </w:rPr>
        <w:endnoteReference w:id="290"/>
      </w:r>
      <w:r w:rsidRPr="00F041AD">
        <w:rPr>
          <w:color w:val="333333" w:themeColor="background1"/>
        </w:rPr>
        <w:t>.</w:t>
      </w:r>
    </w:p>
    <w:p w14:paraId="2DEBA43F" w14:textId="54FC7CCF" w:rsidR="00B65A50" w:rsidRPr="00F041AD" w:rsidRDefault="006506BB" w:rsidP="00CA15D9">
      <w:pPr>
        <w:pStyle w:val="5BodyText"/>
        <w:numPr>
          <w:ilvl w:val="0"/>
          <w:numId w:val="158"/>
        </w:numPr>
        <w:rPr>
          <w:color w:val="333333" w:themeColor="background1"/>
        </w:rPr>
      </w:pPr>
      <w:hyperlink r:id="rId238" w:history="1">
        <w:r w:rsidR="00B65A50" w:rsidRPr="00F041AD">
          <w:rPr>
            <w:rStyle w:val="Hyperlink"/>
            <w:color w:val="333333" w:themeColor="background1"/>
          </w:rPr>
          <w:t>Institute for Industrial Productivity</w:t>
        </w:r>
      </w:hyperlink>
      <w:r w:rsidR="00B65A50" w:rsidRPr="00F041AD">
        <w:rPr>
          <w:color w:val="333333" w:themeColor="background1"/>
        </w:rPr>
        <w:t xml:space="preserve"> works to accelerate the uptake of industrial energy efficiency practices by partnering with industry and government. </w:t>
      </w:r>
    </w:p>
    <w:p w14:paraId="175C9B4B" w14:textId="77777777" w:rsidR="00B65A50" w:rsidRPr="00F041AD" w:rsidRDefault="00B65A50">
      <w:pPr>
        <w:rPr>
          <w:b/>
          <w:i/>
          <w:color w:val="333333" w:themeColor="background1"/>
        </w:rPr>
      </w:pPr>
    </w:p>
    <w:p w14:paraId="24E9F8E6" w14:textId="34314B4E" w:rsidR="00B65A50" w:rsidRPr="00F041AD" w:rsidRDefault="00100FA0" w:rsidP="008B39AC">
      <w:pPr>
        <w:pStyle w:val="StrategyName"/>
        <w:rPr>
          <w:b/>
          <w:i/>
        </w:rPr>
      </w:pPr>
      <w:bookmarkStart w:id="257" w:name="_Toc322961657"/>
      <w:bookmarkStart w:id="258" w:name="_Toc322962054"/>
      <w:bookmarkStart w:id="259" w:name="_Toc322962241"/>
      <w:r w:rsidRPr="00F041AD">
        <w:t>D</w:t>
      </w:r>
      <w:r w:rsidR="0053594C">
        <w:t>4</w:t>
      </w:r>
      <w:r w:rsidR="00F65476" w:rsidRPr="00F041AD">
        <w:t xml:space="preserve">. </w:t>
      </w:r>
      <w:r w:rsidR="00B65A50" w:rsidRPr="00F041AD">
        <w:t>Coordinate and promote the clean energy industry</w:t>
      </w:r>
      <w:bookmarkEnd w:id="257"/>
      <w:bookmarkEnd w:id="258"/>
      <w:bookmarkEnd w:id="259"/>
    </w:p>
    <w:p w14:paraId="56BE4F02" w14:textId="77777777" w:rsidR="00B65A50" w:rsidRPr="00F041AD" w:rsidRDefault="00B65A50" w:rsidP="00762F2B">
      <w:pPr>
        <w:pStyle w:val="5BodyText"/>
        <w:rPr>
          <w:b/>
          <w:i/>
          <w:color w:val="333333" w:themeColor="background1"/>
        </w:rPr>
      </w:pPr>
      <w:r w:rsidRPr="00F041AD">
        <w:rPr>
          <w:b/>
          <w:i/>
          <w:color w:val="333333" w:themeColor="background1"/>
        </w:rPr>
        <w:t>Strategy overview</w:t>
      </w:r>
    </w:p>
    <w:p w14:paraId="0048BD58" w14:textId="18202FDC" w:rsidR="00087ED1" w:rsidRPr="00F041AD" w:rsidRDefault="00B65A50" w:rsidP="00C565C2">
      <w:pPr>
        <w:pStyle w:val="5BodyText"/>
        <w:rPr>
          <w:rFonts w:asciiTheme="majorHAnsi" w:hAnsiTheme="majorHAnsi"/>
          <w:color w:val="333333" w:themeColor="background1"/>
        </w:rPr>
      </w:pPr>
      <w:r w:rsidRPr="00F041AD">
        <w:rPr>
          <w:rFonts w:asciiTheme="majorHAnsi" w:hAnsiTheme="majorHAnsi"/>
          <w:color w:val="333333" w:themeColor="background1"/>
        </w:rPr>
        <w:t>Stakeholders in the advisory committee identified an opportunity to align efforts to grow Minnesota’s clean energy industry. The need to facilitate on-going promotion and communication across clean energy industry value chain businesses in Minnesota’s clean energy economy was independently identified as a priority by the energy efficiency, solar, wind, biomass and smart grid industry sectors.</w:t>
      </w:r>
      <w:r w:rsidR="00087ED1" w:rsidRPr="00F041AD">
        <w:rPr>
          <w:rStyle w:val="FootnoteReference"/>
          <w:rFonts w:asciiTheme="majorHAnsi" w:hAnsiTheme="majorHAnsi"/>
          <w:iCs/>
          <w:color w:val="333333" w:themeColor="background1"/>
        </w:rPr>
        <w:footnoteReference w:id="5"/>
      </w:r>
    </w:p>
    <w:p w14:paraId="019484E2" w14:textId="77777777" w:rsidR="00B65A50" w:rsidRPr="00F041AD" w:rsidRDefault="00B65A50" w:rsidP="00C565C2">
      <w:pPr>
        <w:pStyle w:val="5BodyText"/>
        <w:rPr>
          <w:rFonts w:asciiTheme="majorHAnsi" w:hAnsiTheme="majorHAnsi"/>
          <w:color w:val="333333" w:themeColor="background1"/>
        </w:rPr>
      </w:pPr>
    </w:p>
    <w:p w14:paraId="0FE779AE" w14:textId="0CF0E560" w:rsidR="00B65A50" w:rsidRPr="00F041AD" w:rsidRDefault="00B65A50" w:rsidP="00C565C2">
      <w:pPr>
        <w:pStyle w:val="5BodyText"/>
        <w:rPr>
          <w:rFonts w:asciiTheme="majorHAnsi" w:hAnsiTheme="majorHAnsi"/>
          <w:color w:val="333333" w:themeColor="background1"/>
        </w:rPr>
      </w:pPr>
      <w:r w:rsidRPr="00F041AD">
        <w:rPr>
          <w:rFonts w:asciiTheme="majorHAnsi" w:hAnsiTheme="majorHAnsi"/>
          <w:color w:val="333333" w:themeColor="background1"/>
        </w:rPr>
        <w:t>An industry-led organization focused on coordinating efforts and communication across all clean energy sectors could help coalesce competitive strengths in Minnesota’s</w:t>
      </w:r>
      <w:r w:rsidR="00DB4072">
        <w:rPr>
          <w:rFonts w:asciiTheme="majorHAnsi" w:hAnsiTheme="majorHAnsi"/>
          <w:color w:val="333333" w:themeColor="background1"/>
        </w:rPr>
        <w:t xml:space="preserve"> clean</w:t>
      </w:r>
      <w:r w:rsidRPr="00F041AD">
        <w:rPr>
          <w:rFonts w:asciiTheme="majorHAnsi" w:hAnsiTheme="majorHAnsi"/>
          <w:color w:val="333333" w:themeColor="background1"/>
        </w:rPr>
        <w:t xml:space="preserve"> energy and business community and </w:t>
      </w:r>
      <w:r w:rsidRPr="00F041AD">
        <w:rPr>
          <w:rFonts w:asciiTheme="majorHAnsi" w:hAnsiTheme="majorHAnsi"/>
          <w:iCs/>
          <w:color w:val="333333" w:themeColor="background1"/>
        </w:rPr>
        <w:t>maximize economic development across the state.</w:t>
      </w:r>
    </w:p>
    <w:p w14:paraId="5DE9D37F" w14:textId="77777777" w:rsidR="00B65A50" w:rsidRPr="00F041AD" w:rsidRDefault="00B65A50" w:rsidP="00762F2B">
      <w:pPr>
        <w:pStyle w:val="5BodyText"/>
        <w:rPr>
          <w:b/>
          <w:i/>
          <w:color w:val="333333" w:themeColor="background1"/>
        </w:rPr>
      </w:pPr>
    </w:p>
    <w:p w14:paraId="748E5DF4" w14:textId="0F54DC7C" w:rsidR="00B65A50" w:rsidRPr="00F041AD" w:rsidRDefault="00B65A50" w:rsidP="00100FA0">
      <w:pPr>
        <w:pStyle w:val="5BodyText"/>
        <w:rPr>
          <w:b/>
          <w:i/>
          <w:color w:val="333333" w:themeColor="background1"/>
        </w:rPr>
      </w:pPr>
      <w:r w:rsidRPr="00F041AD">
        <w:rPr>
          <w:b/>
          <w:i/>
          <w:color w:val="333333" w:themeColor="background1"/>
        </w:rPr>
        <w:t>Specific actions for strategy implementation</w:t>
      </w:r>
    </w:p>
    <w:p w14:paraId="54B59643" w14:textId="4DCF038A" w:rsidR="00B65A50" w:rsidRPr="00F041AD" w:rsidRDefault="00B65A50" w:rsidP="00E47A6A">
      <w:pPr>
        <w:pStyle w:val="5BodyText"/>
        <w:numPr>
          <w:ilvl w:val="0"/>
          <w:numId w:val="159"/>
        </w:numPr>
        <w:rPr>
          <w:rFonts w:asciiTheme="majorHAnsi" w:hAnsiTheme="majorHAnsi"/>
          <w:color w:val="333333" w:themeColor="background1"/>
          <w:szCs w:val="20"/>
        </w:rPr>
      </w:pPr>
      <w:r w:rsidRPr="00F041AD">
        <w:rPr>
          <w:rFonts w:asciiTheme="majorHAnsi" w:hAnsiTheme="majorHAnsi"/>
          <w:b/>
          <w:color w:val="333333" w:themeColor="background1"/>
          <w:szCs w:val="20"/>
        </w:rPr>
        <w:t>Identify initial leadership team, board members, and funding sources, and commence initial organizational work.</w:t>
      </w:r>
      <w:r w:rsidRPr="00F041AD">
        <w:rPr>
          <w:rFonts w:asciiTheme="majorHAnsi" w:hAnsiTheme="majorHAnsi"/>
          <w:b/>
          <w:color w:val="333333" w:themeColor="background1"/>
          <w:szCs w:val="20"/>
        </w:rPr>
        <w:br/>
      </w:r>
      <w:r w:rsidRPr="00F041AD">
        <w:rPr>
          <w:rFonts w:asciiTheme="majorHAnsi" w:hAnsiTheme="majorHAnsi"/>
          <w:color w:val="333333" w:themeColor="background1"/>
          <w:szCs w:val="20"/>
        </w:rPr>
        <w:br/>
        <w:t>The leadership team’s immediate objectives should include:</w:t>
      </w:r>
    </w:p>
    <w:p w14:paraId="43A73750" w14:textId="77777777"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Using the best available information to determine Minnesota’s competitive strength in different advanced energy sectors.</w:t>
      </w:r>
    </w:p>
    <w:p w14:paraId="2A4BB2C8" w14:textId="77777777"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Interview local corporations: What is their vision and strategy for the clean energy space? What is the appropriate scope and positioning for a clean energy business organization?</w:t>
      </w:r>
    </w:p>
    <w:p w14:paraId="0B7723A9" w14:textId="35166C89"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Board members should commit to the initial setup and goals of the organization, and help to raise seed money. This initial funding can come from many sources, including grants, and does not need to be extensive to enable initial operation.</w:t>
      </w:r>
    </w:p>
    <w:p w14:paraId="46B7A397" w14:textId="5A6E18FE" w:rsidR="00B65A50" w:rsidRPr="00F041AD" w:rsidRDefault="00B65A50" w:rsidP="008E71AB">
      <w:pPr>
        <w:pStyle w:val="5BodyText"/>
        <w:ind w:left="720"/>
        <w:rPr>
          <w:rFonts w:asciiTheme="majorHAnsi" w:hAnsiTheme="majorHAnsi"/>
          <w:color w:val="333333" w:themeColor="background1"/>
          <w:szCs w:val="20"/>
        </w:rPr>
      </w:pPr>
      <w:r w:rsidRPr="00F041AD">
        <w:rPr>
          <w:rFonts w:asciiTheme="majorHAnsi" w:hAnsiTheme="majorHAnsi"/>
          <w:color w:val="333333" w:themeColor="background1"/>
          <w:szCs w:val="20"/>
        </w:rPr>
        <w:br/>
        <w:t>Key initial activities may include:</w:t>
      </w:r>
    </w:p>
    <w:p w14:paraId="3B267A3F" w14:textId="77777777" w:rsidR="00B65A50" w:rsidRPr="00F041AD" w:rsidRDefault="00B65A50" w:rsidP="00E47A6A">
      <w:pPr>
        <w:pStyle w:val="5BodyText"/>
        <w:numPr>
          <w:ilvl w:val="0"/>
          <w:numId w:val="160"/>
        </w:numPr>
        <w:rPr>
          <w:rFonts w:asciiTheme="majorHAnsi" w:hAnsiTheme="majorHAnsi"/>
          <w:color w:val="333333" w:themeColor="background1"/>
          <w:szCs w:val="20"/>
        </w:rPr>
      </w:pPr>
      <w:r w:rsidRPr="00F041AD">
        <w:rPr>
          <w:rFonts w:asciiTheme="majorHAnsi" w:hAnsiTheme="majorHAnsi"/>
          <w:color w:val="333333" w:themeColor="background1"/>
          <w:szCs w:val="20"/>
        </w:rPr>
        <w:t xml:space="preserve">Identify other states and communities that have established industry funded clean energy cluster organizations </w:t>
      </w:r>
    </w:p>
    <w:p w14:paraId="4E2CA125" w14:textId="77777777" w:rsidR="00B65A50" w:rsidRPr="00F041AD" w:rsidRDefault="00B65A50" w:rsidP="00E47A6A">
      <w:pPr>
        <w:pStyle w:val="5BodyText"/>
        <w:numPr>
          <w:ilvl w:val="2"/>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lastRenderedPageBreak/>
        <w:t>Determine benefits obtained, including: attracting funding to the community; coordinating research across the private, public and nonprofit sectors; and preparation to take advantage of new business opportunities as they arise.</w:t>
      </w:r>
    </w:p>
    <w:p w14:paraId="1460137F" w14:textId="074488AC" w:rsidR="00B65A50" w:rsidRPr="00F041AD" w:rsidRDefault="00B65A50" w:rsidP="00E47A6A">
      <w:pPr>
        <w:pStyle w:val="5BodyText"/>
        <w:numPr>
          <w:ilvl w:val="2"/>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 xml:space="preserve">Determine best practices to help coalesce </w:t>
      </w:r>
      <w:r w:rsidR="00DB4072" w:rsidRPr="00C01B55">
        <w:rPr>
          <w:rFonts w:asciiTheme="majorHAnsi" w:hAnsiTheme="majorHAnsi"/>
          <w:szCs w:val="20"/>
        </w:rPr>
        <w:t>competitive strengths in Minnesota’s clean energy and business community and maximize economic development across the state</w:t>
      </w:r>
      <w:r w:rsidRPr="00F041AD">
        <w:rPr>
          <w:rFonts w:asciiTheme="majorHAnsi" w:hAnsiTheme="majorHAnsi"/>
          <w:color w:val="333333" w:themeColor="background1"/>
          <w:szCs w:val="20"/>
        </w:rPr>
        <w:t xml:space="preserve">. </w:t>
      </w:r>
    </w:p>
    <w:p w14:paraId="5F621732" w14:textId="44D8B6FE" w:rsidR="00B65A50" w:rsidRPr="00F041AD" w:rsidRDefault="00B65A50" w:rsidP="00E47A6A">
      <w:pPr>
        <w:pStyle w:val="5BodyText"/>
        <w:numPr>
          <w:ilvl w:val="0"/>
          <w:numId w:val="160"/>
        </w:numPr>
        <w:rPr>
          <w:rFonts w:asciiTheme="majorHAnsi" w:hAnsiTheme="majorHAnsi"/>
          <w:color w:val="333333" w:themeColor="background1"/>
          <w:szCs w:val="20"/>
        </w:rPr>
      </w:pPr>
      <w:r w:rsidRPr="00F041AD">
        <w:rPr>
          <w:rFonts w:asciiTheme="majorHAnsi" w:hAnsiTheme="majorHAnsi"/>
          <w:color w:val="333333" w:themeColor="background1"/>
          <w:szCs w:val="20"/>
        </w:rPr>
        <w:t>Identify existing programs and organizations that could be leveraged to accelerate development of Minnesota’s clean energy economy.</w:t>
      </w:r>
    </w:p>
    <w:p w14:paraId="5120BB52" w14:textId="77777777" w:rsidR="00B65A50" w:rsidRPr="00F041AD" w:rsidRDefault="00B65A50" w:rsidP="00E47A6A">
      <w:pPr>
        <w:pStyle w:val="5BodyText"/>
        <w:numPr>
          <w:ilvl w:val="2"/>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 xml:space="preserve">Develop asset map and contacts </w:t>
      </w:r>
    </w:p>
    <w:p w14:paraId="6FBF10AD" w14:textId="77777777" w:rsidR="00B65A50" w:rsidRPr="00F041AD" w:rsidRDefault="00B65A50" w:rsidP="00E47A6A">
      <w:pPr>
        <w:pStyle w:val="5BodyText"/>
        <w:numPr>
          <w:ilvl w:val="2"/>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Perform gap analysis</w:t>
      </w:r>
    </w:p>
    <w:p w14:paraId="0FEFBF87" w14:textId="77777777" w:rsidR="00B65A50" w:rsidRPr="00F041AD" w:rsidRDefault="00B65A50" w:rsidP="00E47A6A">
      <w:pPr>
        <w:pStyle w:val="5BodyText"/>
        <w:numPr>
          <w:ilvl w:val="2"/>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Define scope and budget needed for the new organization to provide “gap” deliverables.</w:t>
      </w:r>
    </w:p>
    <w:p w14:paraId="7B934920" w14:textId="77777777" w:rsidR="00B65A50" w:rsidRPr="00F041AD" w:rsidRDefault="00B65A50" w:rsidP="00E47A6A">
      <w:pPr>
        <w:pStyle w:val="5BodyText"/>
        <w:numPr>
          <w:ilvl w:val="2"/>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Develop coordination plan with partners</w:t>
      </w:r>
    </w:p>
    <w:p w14:paraId="749FC822" w14:textId="77777777" w:rsidR="00B65A50" w:rsidRPr="00F041AD" w:rsidRDefault="00B65A50" w:rsidP="008E71AB">
      <w:pPr>
        <w:pStyle w:val="5BodyText"/>
        <w:ind w:left="1440"/>
        <w:rPr>
          <w:rFonts w:asciiTheme="majorHAnsi" w:hAnsiTheme="majorHAnsi"/>
          <w:color w:val="333333" w:themeColor="background1"/>
          <w:szCs w:val="20"/>
        </w:rPr>
      </w:pPr>
    </w:p>
    <w:p w14:paraId="30CDB3F8" w14:textId="77777777" w:rsidR="00B65A50" w:rsidRPr="00F041AD" w:rsidRDefault="00B65A50" w:rsidP="008E71AB">
      <w:pPr>
        <w:pStyle w:val="5BodyText"/>
        <w:ind w:left="720"/>
        <w:rPr>
          <w:rFonts w:asciiTheme="majorHAnsi" w:eastAsia="Arial" w:hAnsiTheme="majorHAnsi" w:cs="Arial"/>
          <w:color w:val="333333" w:themeColor="background1"/>
          <w:szCs w:val="20"/>
        </w:rPr>
      </w:pPr>
      <w:r w:rsidRPr="00F041AD">
        <w:rPr>
          <w:rFonts w:asciiTheme="majorHAnsi" w:hAnsiTheme="majorHAnsi"/>
          <w:b/>
          <w:color w:val="333333" w:themeColor="background1"/>
          <w:szCs w:val="20"/>
        </w:rPr>
        <w:t>Champion:</w:t>
      </w:r>
      <w:r w:rsidRPr="00F041AD">
        <w:rPr>
          <w:rFonts w:asciiTheme="majorHAnsi" w:hAnsiTheme="majorHAnsi"/>
          <w:color w:val="333333" w:themeColor="background1"/>
          <w:szCs w:val="20"/>
        </w:rPr>
        <w:t xml:space="preserve"> </w:t>
      </w:r>
      <w:hyperlink r:id="rId239">
        <w:r w:rsidRPr="00F041AD">
          <w:rPr>
            <w:rFonts w:asciiTheme="majorHAnsi" w:hAnsiTheme="majorHAnsi"/>
            <w:color w:val="333333" w:themeColor="background1"/>
            <w:szCs w:val="20"/>
            <w:u w:val="single"/>
          </w:rPr>
          <w:t xml:space="preserve">2100 Advisors </w:t>
        </w:r>
      </w:hyperlink>
      <w:r w:rsidRPr="00F041AD">
        <w:rPr>
          <w:rFonts w:asciiTheme="majorHAnsi" w:eastAsia="Arial" w:hAnsiTheme="majorHAnsi" w:cs="Arial"/>
          <w:color w:val="333333" w:themeColor="background1"/>
          <w:szCs w:val="20"/>
        </w:rPr>
        <w:t xml:space="preserve"> </w:t>
      </w:r>
    </w:p>
    <w:p w14:paraId="5E7DEF0F" w14:textId="77777777" w:rsidR="00B65A50" w:rsidRPr="00F041AD" w:rsidRDefault="00B65A50" w:rsidP="008E71AB">
      <w:pPr>
        <w:pStyle w:val="5BodyText"/>
        <w:ind w:left="720"/>
        <w:rPr>
          <w:rFonts w:asciiTheme="majorHAnsi" w:eastAsia="Arial" w:hAnsiTheme="majorHAnsi" w:cs="Arial"/>
          <w:color w:val="333333" w:themeColor="background1"/>
          <w:szCs w:val="20"/>
        </w:rPr>
      </w:pPr>
      <w:r w:rsidRPr="00F041AD">
        <w:rPr>
          <w:rFonts w:asciiTheme="majorHAnsi" w:hAnsiTheme="majorHAnsi"/>
          <w:b/>
          <w:color w:val="333333" w:themeColor="background1"/>
          <w:szCs w:val="20"/>
        </w:rPr>
        <w:t xml:space="preserve">Key Participants: </w:t>
      </w:r>
      <w:r w:rsidRPr="00F041AD">
        <w:rPr>
          <w:rFonts w:asciiTheme="majorHAnsi" w:hAnsiTheme="majorHAnsi"/>
          <w:color w:val="333333" w:themeColor="background1"/>
          <w:szCs w:val="20"/>
        </w:rPr>
        <w:t>Clean energy firms in Minnesota</w:t>
      </w:r>
    </w:p>
    <w:p w14:paraId="2048F49C" w14:textId="77777777" w:rsidR="00B65A50" w:rsidRPr="00F041AD" w:rsidRDefault="00B65A50" w:rsidP="008E71AB">
      <w:pPr>
        <w:pStyle w:val="5BodyText"/>
        <w:rPr>
          <w:rFonts w:asciiTheme="majorHAnsi" w:hAnsiTheme="majorHAnsi"/>
          <w:color w:val="333333" w:themeColor="background1"/>
          <w:szCs w:val="20"/>
        </w:rPr>
      </w:pPr>
    </w:p>
    <w:p w14:paraId="1052BA23" w14:textId="77777777" w:rsidR="00B65A50" w:rsidRPr="00F041AD" w:rsidRDefault="00B65A50" w:rsidP="00E47A6A">
      <w:pPr>
        <w:pStyle w:val="5BodyText"/>
        <w:numPr>
          <w:ilvl w:val="0"/>
          <w:numId w:val="159"/>
        </w:numPr>
        <w:rPr>
          <w:rFonts w:asciiTheme="majorHAnsi" w:hAnsiTheme="majorHAnsi"/>
          <w:color w:val="333333" w:themeColor="background1"/>
          <w:szCs w:val="20"/>
        </w:rPr>
      </w:pPr>
      <w:r w:rsidRPr="00F041AD">
        <w:rPr>
          <w:rFonts w:asciiTheme="majorHAnsi" w:hAnsiTheme="majorHAnsi"/>
          <w:b/>
          <w:color w:val="333333" w:themeColor="background1"/>
          <w:szCs w:val="20"/>
        </w:rPr>
        <w:t>Build the basic elements of a business plan to guide the organization and its efforts, with essential staff</w:t>
      </w:r>
      <w:r w:rsidRPr="00F041AD">
        <w:rPr>
          <w:rFonts w:asciiTheme="majorHAnsi" w:hAnsiTheme="majorHAnsi"/>
          <w:color w:val="333333" w:themeColor="background1"/>
          <w:szCs w:val="20"/>
        </w:rPr>
        <w:br/>
        <w:t xml:space="preserve">Key steps of this action include: </w:t>
      </w:r>
    </w:p>
    <w:p w14:paraId="50BB8A7C" w14:textId="77777777"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highlight w:val="white"/>
        </w:rPr>
        <w:t>Identify a potential executive director to hire</w:t>
      </w:r>
    </w:p>
    <w:p w14:paraId="45BC929C" w14:textId="77777777"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highlight w:val="white"/>
        </w:rPr>
        <w:t>Identify initial collaborating organizations and companies and socialize the effort with them as initial potential “sponsors.”</w:t>
      </w:r>
    </w:p>
    <w:p w14:paraId="6E514329" w14:textId="6B3BD4EC"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Establish clear leadership consensus on mission, goals and strategy, including broader goals such as education and workforce development.</w:t>
      </w:r>
    </w:p>
    <w:p w14:paraId="3E8A6997" w14:textId="7164428A"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 xml:space="preserve">Define a clear competitive differentiator; clearly </w:t>
      </w:r>
      <w:r w:rsidRPr="00F041AD">
        <w:rPr>
          <w:rFonts w:asciiTheme="majorHAnsi" w:hAnsiTheme="majorHAnsi"/>
          <w:color w:val="333333" w:themeColor="background1"/>
          <w:szCs w:val="20"/>
          <w:highlight w:val="white"/>
        </w:rPr>
        <w:t>articulate what the organization is and is not</w:t>
      </w:r>
    </w:p>
    <w:p w14:paraId="5F019CB2" w14:textId="77777777"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Identify where Minnesota accelerates a current industry or fosters a new one</w:t>
      </w:r>
    </w:p>
    <w:p w14:paraId="5BE54682" w14:textId="77777777"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Engage with likely partners (state, universities, labs, businesses, economic development orgs, etc.)</w:t>
      </w:r>
    </w:p>
    <w:p w14:paraId="05CECE02" w14:textId="77777777"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Build upon core regional strengths</w:t>
      </w:r>
    </w:p>
    <w:p w14:paraId="69C1E1F7" w14:textId="77777777"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Measure success metrics annually</w:t>
      </w:r>
    </w:p>
    <w:p w14:paraId="4E06A642" w14:textId="77777777"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rPr>
        <w:t>Identify and nurture ongoing funding partners</w:t>
      </w:r>
    </w:p>
    <w:p w14:paraId="70251089" w14:textId="77777777" w:rsidR="00B65A50" w:rsidRPr="00F041AD" w:rsidRDefault="00B65A50" w:rsidP="00E47A6A">
      <w:pPr>
        <w:pStyle w:val="5BodyText"/>
        <w:numPr>
          <w:ilvl w:val="1"/>
          <w:numId w:val="159"/>
        </w:numPr>
        <w:rPr>
          <w:rFonts w:asciiTheme="majorHAnsi" w:hAnsiTheme="majorHAnsi"/>
          <w:color w:val="333333" w:themeColor="background1"/>
          <w:szCs w:val="20"/>
        </w:rPr>
      </w:pPr>
      <w:r w:rsidRPr="00F041AD">
        <w:rPr>
          <w:rFonts w:asciiTheme="majorHAnsi" w:hAnsiTheme="majorHAnsi"/>
          <w:color w:val="333333" w:themeColor="background1"/>
          <w:szCs w:val="20"/>
          <w:highlight w:val="white"/>
        </w:rPr>
        <w:t>Define the decision-making process</w:t>
      </w:r>
    </w:p>
    <w:p w14:paraId="58F83A73" w14:textId="77777777" w:rsidR="00B65A50" w:rsidRPr="00F041AD" w:rsidRDefault="00B65A50" w:rsidP="008E71AB">
      <w:pPr>
        <w:pStyle w:val="5BodyText"/>
        <w:rPr>
          <w:rFonts w:asciiTheme="majorHAnsi" w:hAnsiTheme="majorHAnsi"/>
          <w:color w:val="333333" w:themeColor="background1"/>
          <w:szCs w:val="20"/>
        </w:rPr>
      </w:pPr>
    </w:p>
    <w:p w14:paraId="45E73028" w14:textId="77777777" w:rsidR="00B65A50" w:rsidRPr="00F041AD" w:rsidRDefault="00B65A50" w:rsidP="008E71AB">
      <w:pPr>
        <w:pStyle w:val="5BodyText"/>
        <w:ind w:left="720"/>
        <w:rPr>
          <w:rFonts w:asciiTheme="majorHAnsi" w:hAnsiTheme="majorHAnsi"/>
          <w:color w:val="333333" w:themeColor="background1"/>
          <w:szCs w:val="20"/>
        </w:rPr>
      </w:pPr>
      <w:r w:rsidRPr="00F041AD">
        <w:rPr>
          <w:rFonts w:asciiTheme="majorHAnsi" w:hAnsiTheme="majorHAnsi"/>
          <w:b/>
          <w:color w:val="333333" w:themeColor="background1"/>
          <w:szCs w:val="20"/>
        </w:rPr>
        <w:t>Champion:</w:t>
      </w:r>
      <w:r w:rsidRPr="00F041AD">
        <w:rPr>
          <w:rFonts w:asciiTheme="majorHAnsi" w:hAnsiTheme="majorHAnsi"/>
          <w:color w:val="333333" w:themeColor="background1"/>
          <w:szCs w:val="20"/>
        </w:rPr>
        <w:t xml:space="preserve"> </w:t>
      </w:r>
      <w:r w:rsidRPr="00F041AD">
        <w:rPr>
          <w:rFonts w:asciiTheme="majorHAnsi" w:hAnsiTheme="majorHAnsi"/>
          <w:color w:val="333333" w:themeColor="background1"/>
          <w:szCs w:val="20"/>
          <w:u w:val="single"/>
        </w:rPr>
        <w:t xml:space="preserve">2100 Advisors </w:t>
      </w:r>
      <w:r w:rsidRPr="00F041AD" w:rsidDel="00566167">
        <w:rPr>
          <w:rFonts w:asciiTheme="majorHAnsi" w:hAnsiTheme="majorHAnsi"/>
          <w:color w:val="333333" w:themeColor="background1"/>
          <w:szCs w:val="20"/>
        </w:rPr>
        <w:t xml:space="preserve"> </w:t>
      </w:r>
    </w:p>
    <w:p w14:paraId="512F5B54" w14:textId="77777777" w:rsidR="00B65A50" w:rsidRPr="00F041AD" w:rsidRDefault="00B65A50" w:rsidP="008E71AB">
      <w:pPr>
        <w:pStyle w:val="5BodyText"/>
        <w:ind w:left="720"/>
        <w:rPr>
          <w:rFonts w:asciiTheme="majorHAnsi" w:hAnsiTheme="majorHAnsi"/>
          <w:color w:val="333333" w:themeColor="background1"/>
          <w:szCs w:val="20"/>
        </w:rPr>
      </w:pPr>
      <w:r w:rsidRPr="00F041AD">
        <w:rPr>
          <w:rFonts w:asciiTheme="majorHAnsi" w:hAnsiTheme="majorHAnsi"/>
          <w:b/>
          <w:color w:val="333333" w:themeColor="background1"/>
          <w:szCs w:val="20"/>
        </w:rPr>
        <w:t>Key Participants:</w:t>
      </w:r>
      <w:r w:rsidRPr="00F041AD">
        <w:rPr>
          <w:rFonts w:asciiTheme="majorHAnsi" w:hAnsiTheme="majorHAnsi"/>
          <w:color w:val="333333" w:themeColor="background1"/>
          <w:szCs w:val="20"/>
        </w:rPr>
        <w:t xml:space="preserve"> Clean energy firms in Minnesota</w:t>
      </w:r>
    </w:p>
    <w:p w14:paraId="05249699" w14:textId="77777777" w:rsidR="00B65A50" w:rsidRPr="00F041AD" w:rsidRDefault="00B65A50" w:rsidP="008E71AB">
      <w:pPr>
        <w:pStyle w:val="5BodyText"/>
        <w:rPr>
          <w:rFonts w:asciiTheme="majorHAnsi" w:hAnsiTheme="majorHAnsi"/>
          <w:color w:val="333333" w:themeColor="background1"/>
          <w:szCs w:val="20"/>
        </w:rPr>
      </w:pPr>
    </w:p>
    <w:p w14:paraId="71156301" w14:textId="77777777" w:rsidR="00B65A50" w:rsidRPr="00F041AD" w:rsidRDefault="00B65A50" w:rsidP="00762F2B">
      <w:pPr>
        <w:pStyle w:val="5BodyText"/>
        <w:rPr>
          <w:b/>
          <w:i/>
          <w:color w:val="333333" w:themeColor="background1"/>
        </w:rPr>
      </w:pPr>
      <w:r w:rsidRPr="00F041AD">
        <w:rPr>
          <w:b/>
          <w:i/>
          <w:color w:val="333333" w:themeColor="background1"/>
        </w:rPr>
        <w:t>Success factors</w:t>
      </w:r>
    </w:p>
    <w:p w14:paraId="35FDFA96" w14:textId="77777777" w:rsidR="00B65A50" w:rsidRPr="00F041AD" w:rsidRDefault="00B65A50" w:rsidP="00E47A6A">
      <w:pPr>
        <w:pStyle w:val="5BodyText"/>
        <w:numPr>
          <w:ilvl w:val="0"/>
          <w:numId w:val="161"/>
        </w:numPr>
        <w:rPr>
          <w:color w:val="333333" w:themeColor="background1"/>
        </w:rPr>
      </w:pPr>
      <w:r w:rsidRPr="00F041AD">
        <w:rPr>
          <w:color w:val="333333" w:themeColor="background1"/>
        </w:rPr>
        <w:t>The right stakeholders must be involved. This includes private sector and public sector leadership.</w:t>
      </w:r>
    </w:p>
    <w:p w14:paraId="5C842043" w14:textId="6B831C83" w:rsidR="00B65A50" w:rsidRPr="00F041AD" w:rsidRDefault="00B65A50" w:rsidP="00E47A6A">
      <w:pPr>
        <w:pStyle w:val="5BodyText"/>
        <w:numPr>
          <w:ilvl w:val="0"/>
          <w:numId w:val="161"/>
        </w:numPr>
        <w:rPr>
          <w:color w:val="333333" w:themeColor="background1"/>
        </w:rPr>
      </w:pPr>
      <w:r w:rsidRPr="00F041AD">
        <w:rPr>
          <w:color w:val="333333" w:themeColor="background1"/>
        </w:rPr>
        <w:t>The organizational business model must be sustainable. Membership and other revenues must cover the costs of running the group.</w:t>
      </w:r>
    </w:p>
    <w:p w14:paraId="1FE9CD7F" w14:textId="77777777" w:rsidR="00B65A50" w:rsidRPr="00F041AD" w:rsidRDefault="00B65A50" w:rsidP="00E47A6A">
      <w:pPr>
        <w:pStyle w:val="5BodyText"/>
        <w:rPr>
          <w:b/>
          <w:i/>
          <w:color w:val="333333" w:themeColor="background1"/>
        </w:rPr>
      </w:pPr>
    </w:p>
    <w:p w14:paraId="53D690C4" w14:textId="77777777" w:rsidR="00B65A50" w:rsidRPr="00F041AD" w:rsidRDefault="00B65A50" w:rsidP="00762F2B">
      <w:pPr>
        <w:pStyle w:val="5BodyText"/>
        <w:rPr>
          <w:b/>
          <w:i/>
          <w:color w:val="333333" w:themeColor="background1"/>
        </w:rPr>
      </w:pPr>
      <w:r w:rsidRPr="00F041AD">
        <w:rPr>
          <w:b/>
          <w:i/>
          <w:color w:val="333333" w:themeColor="background1"/>
        </w:rPr>
        <w:t>Indicators of strategy success</w:t>
      </w:r>
    </w:p>
    <w:p w14:paraId="4951804D" w14:textId="77777777" w:rsidR="00B65A50" w:rsidRPr="00F041AD" w:rsidRDefault="00B65A50" w:rsidP="00E47A6A">
      <w:pPr>
        <w:pStyle w:val="5BodyText"/>
        <w:numPr>
          <w:ilvl w:val="0"/>
          <w:numId w:val="162"/>
        </w:numPr>
        <w:rPr>
          <w:color w:val="333333" w:themeColor="background1"/>
        </w:rPr>
      </w:pPr>
      <w:r w:rsidRPr="00F041AD">
        <w:rPr>
          <w:color w:val="333333" w:themeColor="background1"/>
        </w:rPr>
        <w:t>Funding attracted/matched for state advanced energy companies ($).</w:t>
      </w:r>
    </w:p>
    <w:p w14:paraId="56B3E802" w14:textId="77777777" w:rsidR="00B65A50" w:rsidRPr="00F041AD" w:rsidRDefault="00B65A50" w:rsidP="00E47A6A">
      <w:pPr>
        <w:pStyle w:val="5BodyText"/>
        <w:numPr>
          <w:ilvl w:val="0"/>
          <w:numId w:val="162"/>
        </w:numPr>
        <w:rPr>
          <w:color w:val="333333" w:themeColor="background1"/>
        </w:rPr>
      </w:pPr>
      <w:r w:rsidRPr="00F041AD">
        <w:rPr>
          <w:color w:val="333333" w:themeColor="background1"/>
        </w:rPr>
        <w:t>Clean energy projects created</w:t>
      </w:r>
    </w:p>
    <w:p w14:paraId="4ED86CFE" w14:textId="77777777" w:rsidR="00B65A50" w:rsidRPr="00F041AD" w:rsidRDefault="00B65A50" w:rsidP="00E47A6A">
      <w:pPr>
        <w:pStyle w:val="5BodyText"/>
        <w:numPr>
          <w:ilvl w:val="0"/>
          <w:numId w:val="162"/>
        </w:numPr>
        <w:rPr>
          <w:color w:val="333333" w:themeColor="background1"/>
        </w:rPr>
      </w:pPr>
      <w:r w:rsidRPr="00F041AD">
        <w:rPr>
          <w:color w:val="333333" w:themeColor="background1"/>
        </w:rPr>
        <w:t>Number of industry partners</w:t>
      </w:r>
    </w:p>
    <w:p w14:paraId="5FDA2510" w14:textId="2E599C0C" w:rsidR="00B65A50" w:rsidRPr="00F041AD" w:rsidRDefault="00B65A50" w:rsidP="00E47A6A">
      <w:pPr>
        <w:pStyle w:val="5BodyText"/>
        <w:numPr>
          <w:ilvl w:val="0"/>
          <w:numId w:val="162"/>
        </w:numPr>
        <w:rPr>
          <w:color w:val="333333" w:themeColor="background1"/>
        </w:rPr>
      </w:pPr>
      <w:r w:rsidRPr="00F041AD">
        <w:rPr>
          <w:color w:val="333333" w:themeColor="background1"/>
        </w:rPr>
        <w:t xml:space="preserve">Energy saved by projects created through the organization </w:t>
      </w:r>
    </w:p>
    <w:p w14:paraId="697C94A7" w14:textId="3EC45233" w:rsidR="00B65A50" w:rsidRPr="00F041AD" w:rsidRDefault="00B65A50" w:rsidP="00E47A6A">
      <w:pPr>
        <w:pStyle w:val="5BodyText"/>
        <w:numPr>
          <w:ilvl w:val="0"/>
          <w:numId w:val="162"/>
        </w:numPr>
        <w:rPr>
          <w:color w:val="333333" w:themeColor="background1"/>
        </w:rPr>
      </w:pPr>
      <w:r w:rsidRPr="00F041AD">
        <w:rPr>
          <w:color w:val="333333" w:themeColor="background1"/>
        </w:rPr>
        <w:t>GHG and criteria air pollutants reduced by projects created through the organization</w:t>
      </w:r>
    </w:p>
    <w:p w14:paraId="452576F5" w14:textId="77777777" w:rsidR="00B65A50" w:rsidRPr="00F041AD" w:rsidRDefault="00B65A50" w:rsidP="00762F2B">
      <w:pPr>
        <w:pStyle w:val="5BodyText"/>
        <w:rPr>
          <w:b/>
          <w:i/>
          <w:color w:val="333333" w:themeColor="background1"/>
        </w:rPr>
      </w:pPr>
    </w:p>
    <w:p w14:paraId="6B5FC89F" w14:textId="77777777" w:rsidR="00B65A50" w:rsidRPr="00F041AD" w:rsidRDefault="00B65A50" w:rsidP="00762F2B">
      <w:pPr>
        <w:pStyle w:val="5BodyText"/>
        <w:rPr>
          <w:b/>
          <w:i/>
          <w:color w:val="333333" w:themeColor="background1"/>
        </w:rPr>
      </w:pPr>
      <w:r w:rsidRPr="00F041AD">
        <w:rPr>
          <w:b/>
          <w:i/>
          <w:color w:val="333333" w:themeColor="background1"/>
        </w:rPr>
        <w:t>Cross-sector opportunities and synergies</w:t>
      </w:r>
    </w:p>
    <w:p w14:paraId="1118C237" w14:textId="77777777" w:rsidR="00B65A50" w:rsidRPr="00F041AD" w:rsidRDefault="00B65A50" w:rsidP="00E47A6A">
      <w:pPr>
        <w:pStyle w:val="5BodyText"/>
        <w:numPr>
          <w:ilvl w:val="0"/>
          <w:numId w:val="163"/>
        </w:numPr>
        <w:rPr>
          <w:color w:val="333333" w:themeColor="background1"/>
        </w:rPr>
      </w:pPr>
      <w:r w:rsidRPr="00F041AD">
        <w:rPr>
          <w:color w:val="333333" w:themeColor="background1"/>
        </w:rPr>
        <w:t>The organization could facilitate and help scale business-led growth in grid modernization, building efficiency, and advanced biofuels and biobased chemicals.</w:t>
      </w:r>
    </w:p>
    <w:p w14:paraId="21E609F5" w14:textId="77777777" w:rsidR="00B65A50" w:rsidRPr="00F041AD" w:rsidRDefault="00B65A50" w:rsidP="00762F2B">
      <w:pPr>
        <w:pStyle w:val="5BodyText"/>
        <w:rPr>
          <w:b/>
          <w:i/>
          <w:color w:val="333333" w:themeColor="background1"/>
        </w:rPr>
      </w:pPr>
    </w:p>
    <w:p w14:paraId="27F2103F" w14:textId="77777777" w:rsidR="00B65A50" w:rsidRPr="00F041AD" w:rsidRDefault="00B65A50" w:rsidP="00762F2B">
      <w:pPr>
        <w:pStyle w:val="5BodyText"/>
        <w:rPr>
          <w:b/>
          <w:i/>
          <w:color w:val="333333" w:themeColor="background1"/>
        </w:rPr>
      </w:pPr>
      <w:r w:rsidRPr="00F041AD">
        <w:rPr>
          <w:b/>
          <w:i/>
          <w:color w:val="333333" w:themeColor="background1"/>
        </w:rPr>
        <w:t>Ongoing Minnesota initiatives</w:t>
      </w:r>
    </w:p>
    <w:p w14:paraId="3F1EC12D" w14:textId="77777777" w:rsidR="00B65A50" w:rsidRPr="00F041AD" w:rsidRDefault="006506BB" w:rsidP="00E47A6A">
      <w:pPr>
        <w:pStyle w:val="5BodyText"/>
        <w:numPr>
          <w:ilvl w:val="0"/>
          <w:numId w:val="164"/>
        </w:numPr>
        <w:rPr>
          <w:color w:val="333333" w:themeColor="background1"/>
        </w:rPr>
      </w:pPr>
      <w:hyperlink r:id="rId240" w:history="1">
        <w:r w:rsidR="00B65A50" w:rsidRPr="00F041AD">
          <w:rPr>
            <w:rStyle w:val="Hyperlink"/>
            <w:color w:val="333333" w:themeColor="background1"/>
          </w:rPr>
          <w:t>Environmental Initiative</w:t>
        </w:r>
      </w:hyperlink>
      <w:r w:rsidR="00B65A50" w:rsidRPr="00F041AD">
        <w:rPr>
          <w:color w:val="333333" w:themeColor="background1"/>
        </w:rPr>
        <w:t xml:space="preserve"> connects businesses with resources to support sustainability through a variety of programs.</w:t>
      </w:r>
    </w:p>
    <w:p w14:paraId="19E5A5E7" w14:textId="6CE686BC" w:rsidR="00B65A50" w:rsidRPr="00F041AD" w:rsidRDefault="006506BB" w:rsidP="00E47A6A">
      <w:pPr>
        <w:pStyle w:val="5BodyText"/>
        <w:numPr>
          <w:ilvl w:val="0"/>
          <w:numId w:val="164"/>
        </w:numPr>
        <w:rPr>
          <w:color w:val="333333" w:themeColor="background1"/>
        </w:rPr>
      </w:pPr>
      <w:hyperlink r:id="rId241">
        <w:r w:rsidR="00B65A50" w:rsidRPr="00F041AD">
          <w:rPr>
            <w:rStyle w:val="Hyperlink"/>
            <w:color w:val="333333" w:themeColor="background1"/>
          </w:rPr>
          <w:t>Clean Energy Economy Minnesota</w:t>
        </w:r>
      </w:hyperlink>
      <w:r w:rsidR="00B65A50" w:rsidRPr="00F041AD">
        <w:rPr>
          <w:color w:val="333333" w:themeColor="background1"/>
        </w:rPr>
        <w:t xml:space="preserve"> sponsored by McKnight Foundation, is an existing clean energy-focused business group.</w:t>
      </w:r>
      <w:r w:rsidR="00B65A50" w:rsidRPr="00F041AD">
        <w:rPr>
          <w:rStyle w:val="EndnoteReference"/>
          <w:color w:val="333333" w:themeColor="background1"/>
        </w:rPr>
        <w:endnoteReference w:id="291"/>
      </w:r>
    </w:p>
    <w:p w14:paraId="1A1A5E7F" w14:textId="77777777" w:rsidR="00B65A50" w:rsidRPr="00F041AD" w:rsidRDefault="006506BB" w:rsidP="00E47A6A">
      <w:pPr>
        <w:pStyle w:val="5BodyText"/>
        <w:numPr>
          <w:ilvl w:val="0"/>
          <w:numId w:val="164"/>
        </w:numPr>
        <w:rPr>
          <w:color w:val="333333" w:themeColor="background1"/>
        </w:rPr>
      </w:pPr>
      <w:hyperlink r:id="rId242" w:history="1">
        <w:r w:rsidR="00B65A50" w:rsidRPr="00F041AD">
          <w:rPr>
            <w:rStyle w:val="Hyperlink"/>
            <w:color w:val="333333" w:themeColor="background1"/>
          </w:rPr>
          <w:t>Blue Green Alliance</w:t>
        </w:r>
      </w:hyperlink>
      <w:r w:rsidR="00B65A50" w:rsidRPr="00F041AD">
        <w:rPr>
          <w:color w:val="333333" w:themeColor="background1"/>
        </w:rPr>
        <w:t xml:space="preserve"> works to identify job-creating opportunities from environmentally sustainable business practices.</w:t>
      </w:r>
    </w:p>
    <w:p w14:paraId="19B17996" w14:textId="77777777" w:rsidR="005D4341" w:rsidRDefault="005D4341" w:rsidP="005D4341">
      <w:pPr>
        <w:pStyle w:val="5BodyText"/>
        <w:numPr>
          <w:ilvl w:val="0"/>
          <w:numId w:val="164"/>
        </w:numPr>
      </w:pPr>
      <w:r w:rsidRPr="005D4341">
        <w:rPr>
          <w:u w:val="single"/>
        </w:rPr>
        <w:t>Minnesota Sustainable Growth Coalition</w:t>
      </w:r>
      <w:r>
        <w:t xml:space="preserve"> is a collection of companies, organizations, and individual leaders aiming to advance a circular economy that promotes a healthy environment and sustainable growth. </w:t>
      </w:r>
    </w:p>
    <w:p w14:paraId="00A7DDDF" w14:textId="75D92ECA" w:rsidR="00B65A50" w:rsidRPr="00F041AD" w:rsidRDefault="005D4341" w:rsidP="00E47A6A">
      <w:pPr>
        <w:pStyle w:val="5BodyText"/>
        <w:numPr>
          <w:ilvl w:val="0"/>
          <w:numId w:val="164"/>
        </w:numPr>
        <w:rPr>
          <w:color w:val="333333" w:themeColor="background1"/>
        </w:rPr>
      </w:pPr>
      <w:r w:rsidRPr="001F63F9">
        <w:rPr>
          <w:color w:val="333333" w:themeColor="background1"/>
          <w:u w:val="single"/>
        </w:rPr>
        <w:t>Clean Energy Industry Sector Roundtables</w:t>
      </w:r>
      <w:r w:rsidRPr="00F041AD">
        <w:rPr>
          <w:color w:val="333333" w:themeColor="background1"/>
        </w:rPr>
        <w:t xml:space="preserve"> </w:t>
      </w:r>
      <w:r w:rsidR="00B65A50" w:rsidRPr="00F041AD">
        <w:rPr>
          <w:color w:val="333333" w:themeColor="background1"/>
        </w:rPr>
        <w:t>The Minnesota Departments of Commerce, Employment and Economic Development, Agriculture and Environmental Quality Board convened a series of Clean Energy Industry Sector Roundtables in 2014 to identify actions that industry considered was highest priority for their continued growth and development.</w:t>
      </w:r>
    </w:p>
    <w:p w14:paraId="0C6603E0" w14:textId="77777777" w:rsidR="00B65A50" w:rsidRPr="00F041AD" w:rsidRDefault="00B65A50" w:rsidP="00762F2B">
      <w:pPr>
        <w:pStyle w:val="5BodyText"/>
        <w:rPr>
          <w:b/>
          <w:i/>
          <w:color w:val="333333" w:themeColor="background1"/>
        </w:rPr>
      </w:pPr>
    </w:p>
    <w:p w14:paraId="40AF6AB0" w14:textId="77777777" w:rsidR="00B65A50" w:rsidRPr="00F041AD" w:rsidRDefault="00B65A50" w:rsidP="00762F2B">
      <w:pPr>
        <w:pStyle w:val="5BodyText"/>
        <w:rPr>
          <w:b/>
          <w:i/>
          <w:color w:val="333333" w:themeColor="background1"/>
        </w:rPr>
      </w:pPr>
      <w:r w:rsidRPr="00F041AD">
        <w:rPr>
          <w:b/>
          <w:i/>
          <w:color w:val="333333" w:themeColor="background1"/>
        </w:rPr>
        <w:t>Other related resources</w:t>
      </w:r>
    </w:p>
    <w:p w14:paraId="35FC829A" w14:textId="77777777" w:rsidR="00B65A50" w:rsidRPr="00F041AD" w:rsidRDefault="00B65A50" w:rsidP="00E47A6A">
      <w:pPr>
        <w:pStyle w:val="5BodyText"/>
        <w:numPr>
          <w:ilvl w:val="0"/>
          <w:numId w:val="166"/>
        </w:numPr>
        <w:rPr>
          <w:color w:val="333333" w:themeColor="background1"/>
        </w:rPr>
      </w:pPr>
      <w:r w:rsidRPr="00F041AD">
        <w:rPr>
          <w:color w:val="333333" w:themeColor="background1"/>
        </w:rPr>
        <w:t>Other state- or regionally-focused clean energy business organizations and/or events include:</w:t>
      </w:r>
    </w:p>
    <w:p w14:paraId="332B0E62" w14:textId="77777777" w:rsidR="00B65A50" w:rsidRPr="00F041AD" w:rsidRDefault="00B65A50" w:rsidP="00E47A6A">
      <w:pPr>
        <w:pStyle w:val="5BodyText"/>
        <w:numPr>
          <w:ilvl w:val="1"/>
          <w:numId w:val="166"/>
        </w:numPr>
        <w:rPr>
          <w:color w:val="333333" w:themeColor="background1"/>
        </w:rPr>
      </w:pPr>
      <w:r w:rsidRPr="00F041AD">
        <w:rPr>
          <w:color w:val="333333" w:themeColor="background1"/>
          <w:highlight w:val="white"/>
        </w:rPr>
        <w:t>The Northeast Clean Energy Council</w:t>
      </w:r>
      <w:r w:rsidRPr="00F041AD">
        <w:rPr>
          <w:rStyle w:val="EndnoteReference"/>
          <w:rFonts w:asciiTheme="minorHAnsi" w:hAnsiTheme="minorHAnsi"/>
          <w:color w:val="333333" w:themeColor="background1"/>
          <w:highlight w:val="white"/>
        </w:rPr>
        <w:endnoteReference w:id="292"/>
      </w:r>
      <w:r w:rsidRPr="00F041AD">
        <w:rPr>
          <w:color w:val="333333" w:themeColor="background1"/>
          <w:highlight w:val="white"/>
        </w:rPr>
        <w:t xml:space="preserve"> </w:t>
      </w:r>
    </w:p>
    <w:p w14:paraId="15D3A789" w14:textId="77777777" w:rsidR="00B65A50" w:rsidRPr="00F041AD" w:rsidRDefault="00B65A50" w:rsidP="00E47A6A">
      <w:pPr>
        <w:pStyle w:val="5BodyText"/>
        <w:numPr>
          <w:ilvl w:val="1"/>
          <w:numId w:val="166"/>
        </w:numPr>
        <w:rPr>
          <w:color w:val="333333" w:themeColor="background1"/>
          <w:highlight w:val="white"/>
        </w:rPr>
      </w:pPr>
      <w:r w:rsidRPr="00F041AD">
        <w:rPr>
          <w:color w:val="333333" w:themeColor="background1"/>
          <w:highlight w:val="white"/>
          <w:u w:val="single"/>
        </w:rPr>
        <w:t>University of North Carolina Institute for the Environment</w:t>
      </w:r>
      <w:r w:rsidRPr="00F041AD">
        <w:rPr>
          <w:color w:val="333333" w:themeColor="background1"/>
          <w:highlight w:val="white"/>
        </w:rPr>
        <w:t xml:space="preserve"> Clean Tech Summit</w:t>
      </w:r>
      <w:r w:rsidRPr="00F041AD">
        <w:rPr>
          <w:rStyle w:val="EndnoteReference"/>
          <w:rFonts w:asciiTheme="minorHAnsi" w:hAnsiTheme="minorHAnsi"/>
          <w:color w:val="333333" w:themeColor="background1"/>
          <w:highlight w:val="white"/>
        </w:rPr>
        <w:endnoteReference w:id="293"/>
      </w:r>
    </w:p>
    <w:p w14:paraId="73CEF5C1" w14:textId="6A4DE68B" w:rsidR="00B65A50" w:rsidRPr="00F041AD" w:rsidRDefault="00B65A50" w:rsidP="00E47A6A">
      <w:pPr>
        <w:pStyle w:val="5BodyText"/>
        <w:numPr>
          <w:ilvl w:val="1"/>
          <w:numId w:val="166"/>
        </w:numPr>
        <w:rPr>
          <w:color w:val="333333" w:themeColor="background1"/>
        </w:rPr>
      </w:pPr>
      <w:r w:rsidRPr="00F041AD">
        <w:rPr>
          <w:color w:val="333333" w:themeColor="background1"/>
        </w:rPr>
        <w:lastRenderedPageBreak/>
        <w:t xml:space="preserve">The Colorado </w:t>
      </w:r>
      <w:proofErr w:type="spellStart"/>
      <w:r w:rsidRPr="00F041AD">
        <w:rPr>
          <w:color w:val="333333" w:themeColor="background1"/>
        </w:rPr>
        <w:t>Cleantech</w:t>
      </w:r>
      <w:proofErr w:type="spellEnd"/>
      <w:r w:rsidRPr="00F041AD">
        <w:rPr>
          <w:color w:val="333333" w:themeColor="background1"/>
        </w:rPr>
        <w:t xml:space="preserve"> Industries Association (CCIA).</w:t>
      </w:r>
      <w:r w:rsidR="00E1283C" w:rsidRPr="00F041AD">
        <w:rPr>
          <w:rStyle w:val="EndnoteReference"/>
          <w:rFonts w:asciiTheme="minorHAnsi" w:hAnsiTheme="minorHAnsi"/>
          <w:color w:val="333333" w:themeColor="background1"/>
        </w:rPr>
        <w:t xml:space="preserve"> </w:t>
      </w:r>
      <w:r w:rsidR="00E1283C" w:rsidRPr="00F041AD">
        <w:rPr>
          <w:rStyle w:val="EndnoteReference"/>
          <w:rFonts w:asciiTheme="minorHAnsi" w:hAnsiTheme="minorHAnsi"/>
          <w:color w:val="333333" w:themeColor="background1"/>
        </w:rPr>
        <w:endnoteReference w:id="294"/>
      </w:r>
    </w:p>
    <w:p w14:paraId="65B6D5C9" w14:textId="77777777" w:rsidR="00B65A50" w:rsidRPr="00F041AD" w:rsidRDefault="00B65A50" w:rsidP="00E47A6A">
      <w:pPr>
        <w:pStyle w:val="5BodyText"/>
        <w:numPr>
          <w:ilvl w:val="2"/>
          <w:numId w:val="166"/>
        </w:numPr>
        <w:rPr>
          <w:color w:val="333333" w:themeColor="background1"/>
        </w:rPr>
      </w:pPr>
      <w:r w:rsidRPr="00F041AD">
        <w:rPr>
          <w:color w:val="333333" w:themeColor="background1"/>
        </w:rPr>
        <w:t xml:space="preserve">The CCIA commissioned the </w:t>
      </w:r>
      <w:r w:rsidRPr="00F041AD">
        <w:rPr>
          <w:color w:val="333333" w:themeColor="background1"/>
          <w:u w:val="single"/>
        </w:rPr>
        <w:t xml:space="preserve">Colorado </w:t>
      </w:r>
      <w:proofErr w:type="spellStart"/>
      <w:r w:rsidRPr="00F041AD">
        <w:rPr>
          <w:color w:val="333333" w:themeColor="background1"/>
          <w:u w:val="single"/>
        </w:rPr>
        <w:t>Cleantech</w:t>
      </w:r>
      <w:proofErr w:type="spellEnd"/>
      <w:r w:rsidRPr="00F041AD">
        <w:rPr>
          <w:color w:val="333333" w:themeColor="background1"/>
          <w:u w:val="single"/>
        </w:rPr>
        <w:t xml:space="preserve"> Action Plan</w:t>
      </w:r>
      <w:r w:rsidRPr="00F041AD">
        <w:rPr>
          <w:rStyle w:val="EndnoteReference"/>
          <w:rFonts w:asciiTheme="minorHAnsi" w:hAnsiTheme="minorHAnsi"/>
          <w:color w:val="333333" w:themeColor="background1"/>
          <w:u w:val="single"/>
        </w:rPr>
        <w:endnoteReference w:id="295"/>
      </w:r>
      <w:r w:rsidRPr="00F041AD">
        <w:rPr>
          <w:color w:val="333333" w:themeColor="background1"/>
          <w:u w:val="single"/>
        </w:rPr>
        <w:t xml:space="preserve"> </w:t>
      </w:r>
      <w:r w:rsidRPr="00F041AD">
        <w:rPr>
          <w:color w:val="333333" w:themeColor="background1"/>
        </w:rPr>
        <w:t xml:space="preserve">to help the organization map out the opportunity to catalyze </w:t>
      </w:r>
      <w:proofErr w:type="spellStart"/>
      <w:r w:rsidRPr="00F041AD">
        <w:rPr>
          <w:color w:val="333333" w:themeColor="background1"/>
        </w:rPr>
        <w:t>cleantech</w:t>
      </w:r>
      <w:proofErr w:type="spellEnd"/>
      <w:r w:rsidRPr="00F041AD">
        <w:rPr>
          <w:color w:val="333333" w:themeColor="background1"/>
        </w:rPr>
        <w:t xml:space="preserve"> in Colorado.</w:t>
      </w:r>
    </w:p>
    <w:p w14:paraId="323476C8" w14:textId="77777777" w:rsidR="00B65A50" w:rsidRPr="00F041AD" w:rsidRDefault="00B65A50" w:rsidP="00E47A6A">
      <w:pPr>
        <w:pStyle w:val="5BodyText"/>
        <w:numPr>
          <w:ilvl w:val="2"/>
          <w:numId w:val="166"/>
        </w:numPr>
        <w:rPr>
          <w:color w:val="333333" w:themeColor="background1"/>
        </w:rPr>
      </w:pPr>
      <w:r w:rsidRPr="00F041AD">
        <w:rPr>
          <w:color w:val="333333" w:themeColor="background1"/>
        </w:rPr>
        <w:t>The CCIA’s Energy Fellows Institute</w:t>
      </w:r>
      <w:r w:rsidRPr="00F041AD">
        <w:rPr>
          <w:rStyle w:val="EndnoteReference"/>
          <w:rFonts w:asciiTheme="minorHAnsi" w:hAnsiTheme="minorHAnsi"/>
          <w:color w:val="333333" w:themeColor="background1"/>
        </w:rPr>
        <w:endnoteReference w:id="296"/>
      </w:r>
      <w:r w:rsidRPr="00F041AD">
        <w:rPr>
          <w:color w:val="333333" w:themeColor="background1"/>
        </w:rPr>
        <w:t xml:space="preserve"> focuses on developing a workforce for clean energy, aiming to “educate experienced entrepreneurs and executives in industry sectors of the advanced energy and </w:t>
      </w:r>
      <w:proofErr w:type="spellStart"/>
      <w:r w:rsidRPr="00F041AD">
        <w:rPr>
          <w:color w:val="333333" w:themeColor="background1"/>
        </w:rPr>
        <w:t>cleantech</w:t>
      </w:r>
      <w:proofErr w:type="spellEnd"/>
      <w:r w:rsidRPr="00F041AD">
        <w:rPr>
          <w:color w:val="333333" w:themeColor="background1"/>
        </w:rPr>
        <w:t xml:space="preserve"> ecosystems.”</w:t>
      </w:r>
    </w:p>
    <w:p w14:paraId="21BDACAD" w14:textId="3D2B2B7F" w:rsidR="00B65A50" w:rsidRPr="00F041AD" w:rsidRDefault="00B65A50" w:rsidP="00E47A6A">
      <w:pPr>
        <w:pStyle w:val="5BodyText"/>
        <w:numPr>
          <w:ilvl w:val="1"/>
          <w:numId w:val="166"/>
        </w:numPr>
        <w:rPr>
          <w:color w:val="333333" w:themeColor="background1"/>
          <w:highlight w:val="white"/>
        </w:rPr>
      </w:pPr>
      <w:r w:rsidRPr="00F041AD">
        <w:rPr>
          <w:color w:val="333333" w:themeColor="background1"/>
        </w:rPr>
        <w:t>The Los Angeles Clean-Tech Incubator</w:t>
      </w:r>
      <w:r w:rsidR="00E1283C" w:rsidRPr="00F041AD">
        <w:rPr>
          <w:color w:val="333333" w:themeColor="background1"/>
        </w:rPr>
        <w:t>.</w:t>
      </w:r>
      <w:r w:rsidRPr="00F041AD">
        <w:rPr>
          <w:rStyle w:val="EndnoteReference"/>
          <w:rFonts w:asciiTheme="minorHAnsi" w:hAnsiTheme="minorHAnsi"/>
          <w:color w:val="333333" w:themeColor="background1"/>
        </w:rPr>
        <w:endnoteReference w:id="297"/>
      </w:r>
    </w:p>
    <w:p w14:paraId="5294E122" w14:textId="78DD4229" w:rsidR="00E1283C" w:rsidRPr="00F041AD" w:rsidRDefault="00B65A50" w:rsidP="00E1283C">
      <w:pPr>
        <w:pStyle w:val="5BodyText"/>
        <w:numPr>
          <w:ilvl w:val="1"/>
          <w:numId w:val="166"/>
        </w:numPr>
        <w:rPr>
          <w:color w:val="333333" w:themeColor="background1"/>
          <w:highlight w:val="white"/>
        </w:rPr>
      </w:pPr>
      <w:proofErr w:type="spellStart"/>
      <w:r w:rsidRPr="00F041AD">
        <w:rPr>
          <w:color w:val="333333" w:themeColor="background1"/>
          <w:highlight w:val="white"/>
        </w:rPr>
        <w:t>NextEnergy</w:t>
      </w:r>
      <w:proofErr w:type="spellEnd"/>
      <w:r w:rsidRPr="00F041AD">
        <w:rPr>
          <w:color w:val="333333" w:themeColor="background1"/>
          <w:highlight w:val="white"/>
        </w:rPr>
        <w:t xml:space="preserve"> in Michigan</w:t>
      </w:r>
      <w:r w:rsidR="00E1283C" w:rsidRPr="00F041AD">
        <w:rPr>
          <w:color w:val="333333" w:themeColor="background1"/>
          <w:highlight w:val="white"/>
        </w:rPr>
        <w:t>.</w:t>
      </w:r>
      <w:r w:rsidRPr="00F041AD">
        <w:rPr>
          <w:rStyle w:val="EndnoteReference"/>
          <w:color w:val="333333" w:themeColor="background1"/>
          <w:highlight w:val="white"/>
        </w:rPr>
        <w:endnoteReference w:id="298"/>
      </w:r>
    </w:p>
    <w:p w14:paraId="5B400D56" w14:textId="77777777" w:rsidR="008D3F5E" w:rsidRPr="00F041AD" w:rsidRDefault="008D3F5E" w:rsidP="00E1283C">
      <w:pPr>
        <w:pStyle w:val="5BodyText"/>
        <w:rPr>
          <w:color w:val="333333" w:themeColor="background1"/>
          <w:highlight w:val="white"/>
        </w:rPr>
      </w:pPr>
    </w:p>
    <w:p w14:paraId="30BB94F0" w14:textId="533AF2D0" w:rsidR="00E1283C" w:rsidRPr="00F041AD" w:rsidRDefault="008D3F5E" w:rsidP="007F3F44">
      <w:pPr>
        <w:pStyle w:val="6BodyHighlight"/>
        <w:rPr>
          <w:color w:val="333333" w:themeColor="background1"/>
          <w:highlight w:val="white"/>
        </w:rPr>
        <w:sectPr w:rsidR="00E1283C" w:rsidRPr="00F041AD" w:rsidSect="009B0DDD">
          <w:footnotePr>
            <w:numFmt w:val="lowerRoman"/>
          </w:footnotePr>
          <w:endnotePr>
            <w:numFmt w:val="decimal"/>
          </w:endnotePr>
          <w:pgSz w:w="12240" w:h="15840"/>
          <w:pgMar w:top="1627" w:right="1080" w:bottom="1440" w:left="1080" w:header="720" w:footer="278" w:gutter="0"/>
          <w:cols w:space="720"/>
          <w:titlePg/>
        </w:sectPr>
      </w:pPr>
      <w:bookmarkStart w:id="260" w:name="_Toc322961658"/>
      <w:r w:rsidRPr="00F041AD">
        <w:rPr>
          <w:color w:val="333333" w:themeColor="background1"/>
          <w:highlight w:val="white"/>
        </w:rPr>
        <w:t>R</w:t>
      </w:r>
      <w:r w:rsidR="00E1283C" w:rsidRPr="00F041AD">
        <w:rPr>
          <w:color w:val="333333" w:themeColor="background1"/>
          <w:highlight w:val="white"/>
        </w:rPr>
        <w:t>eferences</w:t>
      </w:r>
      <w:bookmarkEnd w:id="260"/>
      <w:r w:rsidR="00E1283C" w:rsidRPr="00F041AD">
        <w:rPr>
          <w:color w:val="333333" w:themeColor="background1"/>
          <w:highlight w:val="white"/>
        </w:rPr>
        <w:t xml:space="preserve"> </w:t>
      </w:r>
    </w:p>
    <w:p w14:paraId="406454A5" w14:textId="2C0553A2" w:rsidR="00B65A50" w:rsidRPr="00F041AD" w:rsidRDefault="00B65A50">
      <w:pPr>
        <w:rPr>
          <w:b/>
          <w:i/>
          <w:color w:val="333333" w:themeColor="background1"/>
          <w:sz w:val="20"/>
        </w:rPr>
      </w:pPr>
      <w:r w:rsidRPr="00F041AD">
        <w:rPr>
          <w:b/>
          <w:i/>
          <w:color w:val="333333" w:themeColor="background1"/>
        </w:rPr>
        <w:lastRenderedPageBreak/>
        <w:br w:type="page"/>
      </w:r>
    </w:p>
    <w:p w14:paraId="29BA0266" w14:textId="16017F45" w:rsidR="00B65A50" w:rsidRPr="00F041AD" w:rsidRDefault="00B65A50" w:rsidP="00875F55">
      <w:pPr>
        <w:pStyle w:val="3SectionTitle"/>
        <w:rPr>
          <w:color w:val="333333" w:themeColor="background1"/>
        </w:rPr>
      </w:pPr>
      <w:bookmarkStart w:id="261" w:name="_Toc322933806"/>
      <w:bookmarkStart w:id="262" w:name="_Toc322961659"/>
      <w:bookmarkStart w:id="263" w:name="_Toc322962055"/>
      <w:bookmarkStart w:id="264" w:name="_Toc322962242"/>
      <w:r w:rsidRPr="00F041AD">
        <w:rPr>
          <w:color w:val="333333" w:themeColor="background1"/>
        </w:rPr>
        <w:lastRenderedPageBreak/>
        <w:t>E. Local Planning and Action</w:t>
      </w:r>
      <w:bookmarkEnd w:id="261"/>
      <w:bookmarkEnd w:id="262"/>
      <w:bookmarkEnd w:id="263"/>
      <w:bookmarkEnd w:id="264"/>
    </w:p>
    <w:p w14:paraId="5FFADF24" w14:textId="77777777" w:rsidR="00B65A50" w:rsidRPr="00F041AD" w:rsidRDefault="00B65A50" w:rsidP="00FC7DC8">
      <w:pPr>
        <w:pStyle w:val="5BodyText"/>
        <w:rPr>
          <w:b/>
          <w:color w:val="333333" w:themeColor="background1"/>
        </w:rPr>
      </w:pPr>
      <w:bookmarkStart w:id="265" w:name="h.bbmo8sn0c1o9" w:colFirst="0" w:colLast="0"/>
      <w:bookmarkStart w:id="266" w:name="_Toc317317614"/>
      <w:bookmarkStart w:id="267" w:name="_Toc318126189"/>
      <w:bookmarkStart w:id="268" w:name="_Toc319794294"/>
      <w:bookmarkEnd w:id="265"/>
    </w:p>
    <w:p w14:paraId="364F4AFC" w14:textId="77777777" w:rsidR="00B65A50" w:rsidRPr="00F041AD" w:rsidRDefault="00B65A50" w:rsidP="007F3F44">
      <w:pPr>
        <w:pStyle w:val="6BodyHighlight"/>
        <w:rPr>
          <w:color w:val="333333" w:themeColor="background1"/>
        </w:rPr>
      </w:pPr>
      <w:bookmarkStart w:id="269" w:name="_Toc322961660"/>
      <w:r w:rsidRPr="00F041AD">
        <w:rPr>
          <w:color w:val="333333" w:themeColor="background1"/>
        </w:rPr>
        <w:t>Section summary</w:t>
      </w:r>
      <w:bookmarkEnd w:id="269"/>
    </w:p>
    <w:p w14:paraId="1AFC7666" w14:textId="0C924034" w:rsidR="00B65A50" w:rsidRPr="00F041AD" w:rsidRDefault="00B65A50" w:rsidP="00FC7DC8">
      <w:pPr>
        <w:pStyle w:val="5BodyText"/>
        <w:rPr>
          <w:color w:val="333333" w:themeColor="background1"/>
        </w:rPr>
      </w:pPr>
      <w:r w:rsidRPr="00F041AD">
        <w:rPr>
          <w:color w:val="333333" w:themeColor="background1"/>
        </w:rPr>
        <w:t xml:space="preserve">Leading local governments and tribal nations can illuminate the path ahead for clean energy across Minnesota. Local governments and tribal </w:t>
      </w:r>
      <w:r w:rsidR="004308E1">
        <w:rPr>
          <w:color w:val="333333" w:themeColor="background1"/>
        </w:rPr>
        <w:t>nations</w:t>
      </w:r>
      <w:r w:rsidR="004308E1" w:rsidRPr="00F041AD">
        <w:rPr>
          <w:color w:val="333333" w:themeColor="background1"/>
        </w:rPr>
        <w:t xml:space="preserve"> </w:t>
      </w:r>
      <w:r w:rsidRPr="00F041AD">
        <w:rPr>
          <w:color w:val="333333" w:themeColor="background1"/>
        </w:rPr>
        <w:t xml:space="preserve">have the ability to shape many aspects of the local energy system, and </w:t>
      </w:r>
      <w:r w:rsidRPr="00F041AD">
        <w:rPr>
          <w:color w:val="333333" w:themeColor="background1"/>
          <w:highlight w:val="white"/>
        </w:rPr>
        <w:t>have a variety of policy tools at their disposal right now that can shape clean energy development within their jurisdictions.</w:t>
      </w:r>
    </w:p>
    <w:p w14:paraId="6256DA27" w14:textId="77777777" w:rsidR="00B65A50" w:rsidRPr="00F041AD" w:rsidRDefault="00B65A50" w:rsidP="00FC7DC8">
      <w:pPr>
        <w:pStyle w:val="5BodyText"/>
        <w:rPr>
          <w:color w:val="333333" w:themeColor="background1"/>
        </w:rPr>
      </w:pPr>
    </w:p>
    <w:p w14:paraId="38FC05BA" w14:textId="77777777" w:rsidR="00B65A50" w:rsidRPr="00F041AD" w:rsidRDefault="00B65A50" w:rsidP="00FC7DC8">
      <w:pPr>
        <w:pStyle w:val="5BodyText"/>
        <w:rPr>
          <w:color w:val="333333" w:themeColor="background1"/>
        </w:rPr>
      </w:pPr>
      <w:r w:rsidRPr="00F041AD">
        <w:rPr>
          <w:color w:val="333333" w:themeColor="background1"/>
        </w:rPr>
        <w:t xml:space="preserve">In this section, we outline two strategies for local leadership in building a cleaner, more resilient energy system: </w:t>
      </w:r>
      <w:r w:rsidRPr="00F041AD">
        <w:rPr>
          <w:b/>
          <w:color w:val="333333" w:themeColor="background1"/>
        </w:rPr>
        <w:t>advancing local energy planning</w:t>
      </w:r>
      <w:r w:rsidRPr="00F041AD">
        <w:rPr>
          <w:color w:val="333333" w:themeColor="background1"/>
        </w:rPr>
        <w:t xml:space="preserve"> and </w:t>
      </w:r>
      <w:r w:rsidRPr="00F041AD">
        <w:rPr>
          <w:b/>
          <w:color w:val="333333" w:themeColor="background1"/>
        </w:rPr>
        <w:t>pursuing near-term actions at the local level</w:t>
      </w:r>
      <w:r w:rsidRPr="00F041AD">
        <w:rPr>
          <w:color w:val="333333" w:themeColor="background1"/>
        </w:rPr>
        <w:t>.</w:t>
      </w:r>
    </w:p>
    <w:p w14:paraId="37747834" w14:textId="77777777" w:rsidR="00B65A50" w:rsidRPr="00F041AD" w:rsidRDefault="00B65A50" w:rsidP="00FC7DC8">
      <w:pPr>
        <w:pStyle w:val="5BodyText"/>
        <w:rPr>
          <w:color w:val="333333" w:themeColor="background1"/>
        </w:rPr>
      </w:pPr>
    </w:p>
    <w:p w14:paraId="0A342F3F" w14:textId="56E3BAD7" w:rsidR="00B65A50" w:rsidRPr="00F041AD" w:rsidRDefault="004E0F22" w:rsidP="00FC7DC8">
      <w:pPr>
        <w:pStyle w:val="5BodyText"/>
        <w:rPr>
          <w:color w:val="333333" w:themeColor="background1"/>
        </w:rPr>
      </w:pPr>
      <w:r w:rsidRPr="00F041AD">
        <w:rPr>
          <w:b/>
          <w:color w:val="333333" w:themeColor="background1"/>
        </w:rPr>
        <w:t>Advance l</w:t>
      </w:r>
      <w:r w:rsidR="00B65A50" w:rsidRPr="00F041AD">
        <w:rPr>
          <w:b/>
          <w:color w:val="333333" w:themeColor="background1"/>
        </w:rPr>
        <w:t>ocal energy planning</w:t>
      </w:r>
      <w:r w:rsidRPr="00F041AD">
        <w:rPr>
          <w:b/>
          <w:color w:val="333333" w:themeColor="background1"/>
        </w:rPr>
        <w:t>.</w:t>
      </w:r>
      <w:r w:rsidRPr="00F041AD">
        <w:rPr>
          <w:color w:val="333333" w:themeColor="background1"/>
        </w:rPr>
        <w:t xml:space="preserve"> A</w:t>
      </w:r>
      <w:r w:rsidR="00B65A50" w:rsidRPr="00F041AD">
        <w:rPr>
          <w:color w:val="333333" w:themeColor="background1"/>
        </w:rPr>
        <w:t>ctions include energy data collection and analysis, integrating energy and resilience planning into comprehensive planning and other planning efforts, and engaging communities in a statewide energy challenge.</w:t>
      </w:r>
    </w:p>
    <w:p w14:paraId="0F053AE3" w14:textId="77777777" w:rsidR="00B65A50" w:rsidRPr="00F041AD" w:rsidRDefault="00B65A50" w:rsidP="00FC7DC8">
      <w:pPr>
        <w:pStyle w:val="5BodyText"/>
        <w:rPr>
          <w:color w:val="333333" w:themeColor="background1"/>
        </w:rPr>
      </w:pPr>
    </w:p>
    <w:p w14:paraId="56B0D661" w14:textId="29465A40" w:rsidR="00B65A50" w:rsidRPr="00F041AD" w:rsidRDefault="004E0F22" w:rsidP="00FC7DC8">
      <w:pPr>
        <w:pStyle w:val="5BodyText"/>
        <w:rPr>
          <w:color w:val="333333" w:themeColor="background1"/>
        </w:rPr>
      </w:pPr>
      <w:r w:rsidRPr="00F041AD">
        <w:rPr>
          <w:b/>
          <w:color w:val="333333" w:themeColor="background1"/>
        </w:rPr>
        <w:t>Pursue n</w:t>
      </w:r>
      <w:r w:rsidR="00B65A50" w:rsidRPr="00F041AD">
        <w:rPr>
          <w:b/>
          <w:color w:val="333333" w:themeColor="background1"/>
        </w:rPr>
        <w:t>ear-term actions at the local level</w:t>
      </w:r>
      <w:r w:rsidRPr="00F041AD">
        <w:rPr>
          <w:color w:val="333333" w:themeColor="background1"/>
        </w:rPr>
        <w:t xml:space="preserve">. Actions </w:t>
      </w:r>
      <w:r w:rsidR="00B65A50" w:rsidRPr="00F041AD">
        <w:rPr>
          <w:color w:val="333333" w:themeColor="background1"/>
        </w:rPr>
        <w:t>include adopting best practices, addressing energy development in local ordinances, creating predictable permitting for distributed generation, publicizing existing programs, and developing energy and climate goals.</w:t>
      </w:r>
    </w:p>
    <w:p w14:paraId="591D1EC1" w14:textId="77777777" w:rsidR="00B65A50" w:rsidRPr="00F041AD" w:rsidRDefault="00B65A50" w:rsidP="00FC7DC8">
      <w:pPr>
        <w:pStyle w:val="5BodyText"/>
        <w:rPr>
          <w:color w:val="333333" w:themeColor="background1"/>
        </w:rPr>
      </w:pPr>
    </w:p>
    <w:p w14:paraId="4D31B1F2" w14:textId="77777777" w:rsidR="00B65A50" w:rsidRPr="00F041AD" w:rsidRDefault="00B65A50" w:rsidP="00FC7DC8">
      <w:pPr>
        <w:pStyle w:val="5BodyText"/>
        <w:rPr>
          <w:color w:val="333333" w:themeColor="background1"/>
        </w:rPr>
      </w:pPr>
    </w:p>
    <w:p w14:paraId="068476F8" w14:textId="77777777" w:rsidR="00B65A50" w:rsidRPr="00F041AD" w:rsidRDefault="00B65A50" w:rsidP="00FC7DC8">
      <w:pPr>
        <w:pStyle w:val="5BodyText"/>
        <w:rPr>
          <w:rFonts w:eastAsia="Calibri" w:cs="Calibri"/>
          <w:b/>
          <w:color w:val="333333" w:themeColor="background1"/>
          <w:sz w:val="26"/>
          <w:szCs w:val="26"/>
        </w:rPr>
      </w:pPr>
      <w:r w:rsidRPr="00F041AD">
        <w:rPr>
          <w:color w:val="333333" w:themeColor="background1"/>
        </w:rPr>
        <w:br w:type="page"/>
      </w:r>
    </w:p>
    <w:p w14:paraId="22D4CAB5" w14:textId="77777777" w:rsidR="00B65A50" w:rsidRPr="00F041AD" w:rsidRDefault="00B65A50" w:rsidP="00FC7DC8">
      <w:pPr>
        <w:pStyle w:val="5BodyText"/>
        <w:rPr>
          <w:b/>
          <w:color w:val="333333" w:themeColor="background1"/>
          <w:sz w:val="24"/>
        </w:rPr>
      </w:pPr>
      <w:r w:rsidRPr="00F041AD">
        <w:rPr>
          <w:b/>
          <w:color w:val="333333" w:themeColor="background1"/>
          <w:sz w:val="24"/>
        </w:rPr>
        <w:lastRenderedPageBreak/>
        <w:t>Energy profile</w:t>
      </w:r>
      <w:bookmarkEnd w:id="266"/>
      <w:bookmarkEnd w:id="267"/>
      <w:bookmarkEnd w:id="268"/>
    </w:p>
    <w:p w14:paraId="58714796" w14:textId="5061E85B" w:rsidR="00B65A50" w:rsidRPr="00F041AD" w:rsidRDefault="00B65A50" w:rsidP="00FC7DC8">
      <w:pPr>
        <w:pStyle w:val="5BodyText"/>
        <w:rPr>
          <w:color w:val="333333" w:themeColor="background1"/>
        </w:rPr>
      </w:pPr>
      <w:r w:rsidRPr="00F041AD">
        <w:rPr>
          <w:color w:val="333333" w:themeColor="background1"/>
        </w:rPr>
        <w:t>Understanding that much of energy planning, policy, and action occur at the local level, this section focuses on what can be done across energy sectors in local communities. Communities vary significantly in their contribution to the state’s total energy use, but each has a meaningful role to play in influencing energy use within its borders. Local governments and tribal nations have the ability to shape many aspects of the future energy system within their boundaries, and thus in aggregate across the entire state. They have unique sets of policy and planning tools through which they can inspire public participation and private sector action, and in so doing, shape their energy future.</w:t>
      </w:r>
    </w:p>
    <w:p w14:paraId="0CD42A6D" w14:textId="6AE4679D" w:rsidR="00B65A50" w:rsidRPr="00F041AD" w:rsidRDefault="00B65A50" w:rsidP="00FC7DC8">
      <w:pPr>
        <w:pStyle w:val="5BodyText"/>
        <w:rPr>
          <w:color w:val="333333" w:themeColor="background1"/>
        </w:rPr>
      </w:pPr>
      <w:bookmarkStart w:id="270" w:name="h.1x0gk37" w:colFirst="0" w:colLast="0"/>
      <w:bookmarkStart w:id="271" w:name="_Toc317317615"/>
      <w:bookmarkStart w:id="272" w:name="_Toc318126190"/>
      <w:bookmarkStart w:id="273" w:name="_Toc319794295"/>
      <w:bookmarkEnd w:id="270"/>
    </w:p>
    <w:p w14:paraId="426C3E69" w14:textId="5767E041" w:rsidR="00B65A50" w:rsidRPr="00F041AD" w:rsidRDefault="00A736DF" w:rsidP="00FC7DC8">
      <w:pPr>
        <w:pStyle w:val="5BodyText"/>
        <w:rPr>
          <w:b/>
          <w:color w:val="333333" w:themeColor="background1"/>
        </w:rPr>
      </w:pPr>
      <w:r w:rsidRPr="00F041AD">
        <w:rPr>
          <w:b/>
          <w:noProof/>
          <w:color w:val="333333" w:themeColor="background1"/>
          <w:lang w:eastAsia="en-US"/>
        </w:rPr>
        <mc:AlternateContent>
          <mc:Choice Requires="wps">
            <w:drawing>
              <wp:anchor distT="0" distB="0" distL="114300" distR="114300" simplePos="0" relativeHeight="251700224" behindDoc="0" locked="0" layoutInCell="1" allowOverlap="1" wp14:anchorId="6BDB5162" wp14:editId="1972938B">
                <wp:simplePos x="0" y="0"/>
                <wp:positionH relativeFrom="column">
                  <wp:posOffset>4505960</wp:posOffset>
                </wp:positionH>
                <wp:positionV relativeFrom="paragraph">
                  <wp:posOffset>6985</wp:posOffset>
                </wp:positionV>
                <wp:extent cx="1828800" cy="369697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1828800" cy="36969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594EC7" w14:textId="77777777" w:rsidR="006506BB" w:rsidRPr="00A736DF" w:rsidRDefault="006506BB" w:rsidP="00A736DF">
                            <w:pPr>
                              <w:pStyle w:val="4Quote"/>
                              <w:rPr>
                                <w:sz w:val="36"/>
                              </w:rPr>
                            </w:pPr>
                            <w:r w:rsidRPr="00A736DF">
                              <w:rPr>
                                <w:sz w:val="36"/>
                              </w:rPr>
                              <w:t xml:space="preserve">Communities and tribal nations across Minnesota are showing that a clean energy future is not only possible, but that it is steadily taking root.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9" type="#_x0000_t202" style="position:absolute;margin-left:354.8pt;margin-top:.55pt;width:2in;height:291.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" filled="f" stroked="f">
                <v:textbox>
                  <w:txbxContent>
                    <w:p w14:paraId="69594EC7" w14:textId="77777777" w:rsidR="006506BB" w:rsidRPr="00A736DF" w:rsidRDefault="006506BB" w:rsidP="00A736DF">
                      <w:pPr>
                        <w:pStyle w:val="4Quote"/>
                        <w:rPr>
                          <w:sz w:val="36"/>
                        </w:rPr>
                      </w:pPr>
                      <w:r w:rsidRPr="00A736DF">
                        <w:rPr>
                          <w:sz w:val="36"/>
                        </w:rPr>
                        <w:t xml:space="preserve">Communities and tribal nations across Minnesota are showing that a clean energy future is not only possible, but that it is steadily taking root. </w:t>
                      </w:r>
                    </w:p>
                  </w:txbxContent>
                </v:textbox>
                <w10:wrap type="square"/>
              </v:shape>
            </w:pict>
          </mc:Fallback>
        </mc:AlternateContent>
      </w:r>
      <w:r w:rsidR="00B65A50" w:rsidRPr="00F041AD">
        <w:rPr>
          <w:b/>
          <w:color w:val="333333" w:themeColor="background1"/>
        </w:rPr>
        <w:t>Summary of opportunities</w:t>
      </w:r>
      <w:bookmarkEnd w:id="271"/>
      <w:bookmarkEnd w:id="272"/>
      <w:bookmarkEnd w:id="273"/>
    </w:p>
    <w:p w14:paraId="4DA31F6E" w14:textId="77777777" w:rsidR="00B65A50" w:rsidRPr="00F041AD" w:rsidRDefault="00B65A50" w:rsidP="00FC7DC8">
      <w:pPr>
        <w:pStyle w:val="5BodyText"/>
        <w:rPr>
          <w:color w:val="333333" w:themeColor="background1"/>
        </w:rPr>
      </w:pPr>
      <w:r w:rsidRPr="00F041AD">
        <w:rPr>
          <w:color w:val="333333" w:themeColor="background1"/>
        </w:rPr>
        <w:t xml:space="preserve">The stakeholder advisory committee identified the following strategies to allow local communities to plan thoughtfully for the future energy landscape, and capitalize on opportunities over the next decade. The strategies fall into two major categories: advancing local energy planning and capitalizing upon near-term energy actions at the local level. </w:t>
      </w:r>
    </w:p>
    <w:p w14:paraId="05F99E46" w14:textId="77777777" w:rsidR="00B65A50" w:rsidRPr="00F041AD" w:rsidRDefault="00B65A50" w:rsidP="00FC7DC8">
      <w:pPr>
        <w:pStyle w:val="5BodyText"/>
        <w:rPr>
          <w:color w:val="333333" w:themeColor="background1"/>
        </w:rPr>
      </w:pPr>
    </w:p>
    <w:p w14:paraId="543998B4" w14:textId="77777777" w:rsidR="00B65A50" w:rsidRPr="00F041AD" w:rsidRDefault="00B65A50" w:rsidP="00FC7DC8">
      <w:pPr>
        <w:pStyle w:val="5BodyText"/>
        <w:rPr>
          <w:b/>
          <w:color w:val="333333" w:themeColor="background1"/>
        </w:rPr>
      </w:pPr>
      <w:r w:rsidRPr="00F041AD">
        <w:rPr>
          <w:b/>
          <w:color w:val="333333" w:themeColor="background1"/>
        </w:rPr>
        <w:t xml:space="preserve">Advancing local energy planning </w:t>
      </w:r>
    </w:p>
    <w:p w14:paraId="40A410D9" w14:textId="77777777" w:rsidR="00B65A50" w:rsidRPr="00F041AD" w:rsidRDefault="00B65A50" w:rsidP="00FC7DC8">
      <w:pPr>
        <w:pStyle w:val="5BodyText"/>
        <w:rPr>
          <w:color w:val="333333" w:themeColor="background1"/>
        </w:rPr>
      </w:pPr>
      <w:r w:rsidRPr="00F041AD">
        <w:rPr>
          <w:color w:val="333333" w:themeColor="background1"/>
        </w:rPr>
        <w:t xml:space="preserve">Local governments and tribal nations have the ability to shape many aspects of the local energy system, but many communities need support to plan appropriately for a complex, changing energy landscape. For example, the community-level energy data that is essential to making informed decisions has historically only been collected sporadically, and only for large cities. Further, frameworks for integrating energy into comprehensive plans and other technical resources are also needed. </w:t>
      </w:r>
    </w:p>
    <w:p w14:paraId="71273E67" w14:textId="77777777" w:rsidR="00B65A50" w:rsidRPr="00F041AD" w:rsidRDefault="00B65A50" w:rsidP="00FC7DC8">
      <w:pPr>
        <w:pStyle w:val="5BodyText"/>
        <w:rPr>
          <w:b/>
          <w:color w:val="333333" w:themeColor="background1"/>
        </w:rPr>
      </w:pPr>
    </w:p>
    <w:p w14:paraId="0991F300" w14:textId="77777777" w:rsidR="00B65A50" w:rsidRPr="00F041AD" w:rsidRDefault="00B65A50" w:rsidP="00FC7DC8">
      <w:pPr>
        <w:pStyle w:val="5BodyText"/>
        <w:rPr>
          <w:b/>
          <w:color w:val="333333" w:themeColor="background1"/>
        </w:rPr>
      </w:pPr>
      <w:r w:rsidRPr="00F041AD">
        <w:rPr>
          <w:b/>
          <w:color w:val="333333" w:themeColor="background1"/>
        </w:rPr>
        <w:t>Pursuing near-term actions at the local level</w:t>
      </w:r>
    </w:p>
    <w:p w14:paraId="3F240AF6" w14:textId="77777777" w:rsidR="00B65A50" w:rsidRPr="00F041AD" w:rsidRDefault="00B65A50" w:rsidP="00FC7DC8">
      <w:pPr>
        <w:pStyle w:val="5BodyText"/>
        <w:rPr>
          <w:color w:val="333333" w:themeColor="background1"/>
        </w:rPr>
      </w:pPr>
      <w:r w:rsidRPr="00F041AD">
        <w:rPr>
          <w:color w:val="333333" w:themeColor="background1"/>
        </w:rPr>
        <w:t>This strategy focuses on actions local governments and tribal nations can take to seize upon near-term opportunities. By adopting best practices and implementing near-term actions, local governments and tribal nations can save money and reduce environmental impacts, and can support their residents and businesses in doing the same.</w:t>
      </w:r>
    </w:p>
    <w:p w14:paraId="2DB35C98" w14:textId="77777777" w:rsidR="00B65A50" w:rsidRPr="00F041AD" w:rsidRDefault="00B65A50" w:rsidP="00FC7DC8">
      <w:pPr>
        <w:pStyle w:val="5BodyText"/>
        <w:rPr>
          <w:color w:val="333333" w:themeColor="background1"/>
        </w:rPr>
      </w:pPr>
    </w:p>
    <w:p w14:paraId="54F3F77B" w14:textId="6A05A69B" w:rsidR="00B65A50" w:rsidRPr="00F041AD" w:rsidRDefault="0053594C" w:rsidP="008B39AC">
      <w:pPr>
        <w:pStyle w:val="StrategyName"/>
      </w:pPr>
      <w:bookmarkStart w:id="274" w:name="h.4h042r0" w:colFirst="0" w:colLast="0"/>
      <w:bookmarkStart w:id="275" w:name="_Toc322962056"/>
      <w:bookmarkStart w:id="276" w:name="_Toc322962243"/>
      <w:bookmarkStart w:id="277" w:name="_Toc317317616"/>
      <w:bookmarkStart w:id="278" w:name="_Toc318126191"/>
      <w:bookmarkStart w:id="279" w:name="_Toc319794296"/>
      <w:bookmarkEnd w:id="274"/>
      <w:r>
        <w:t>E1</w:t>
      </w:r>
      <w:r w:rsidR="00B65A50" w:rsidRPr="00F041AD">
        <w:t>. Advance local energy planning</w:t>
      </w:r>
      <w:bookmarkEnd w:id="275"/>
      <w:bookmarkEnd w:id="276"/>
      <w:r w:rsidR="00B65A50" w:rsidRPr="00F041AD">
        <w:t xml:space="preserve"> </w:t>
      </w:r>
      <w:bookmarkEnd w:id="277"/>
      <w:bookmarkEnd w:id="278"/>
      <w:bookmarkEnd w:id="279"/>
    </w:p>
    <w:p w14:paraId="2E69FADF" w14:textId="77777777" w:rsidR="00B65A50" w:rsidRPr="00F041AD" w:rsidRDefault="00B65A50" w:rsidP="00FC7DC8">
      <w:pPr>
        <w:pStyle w:val="5BodyText"/>
        <w:rPr>
          <w:b/>
          <w:color w:val="333333" w:themeColor="background1"/>
        </w:rPr>
      </w:pPr>
    </w:p>
    <w:p w14:paraId="32C9FC41" w14:textId="77777777" w:rsidR="00B65A50" w:rsidRPr="00F041AD" w:rsidRDefault="00B65A50" w:rsidP="00FC7DC8">
      <w:pPr>
        <w:pStyle w:val="5BodyText"/>
        <w:rPr>
          <w:b/>
          <w:bCs/>
          <w:i/>
          <w:iCs/>
          <w:color w:val="333333" w:themeColor="background1"/>
        </w:rPr>
      </w:pPr>
      <w:r w:rsidRPr="00F041AD">
        <w:rPr>
          <w:b/>
          <w:bCs/>
          <w:i/>
          <w:iCs/>
          <w:color w:val="333333" w:themeColor="background1"/>
        </w:rPr>
        <w:t>Strategy overview</w:t>
      </w:r>
    </w:p>
    <w:p w14:paraId="09DF08C8" w14:textId="61B5BDEA" w:rsidR="00B65A50" w:rsidRPr="00F041AD" w:rsidRDefault="00B65A50" w:rsidP="00FC7DC8">
      <w:pPr>
        <w:pStyle w:val="5BodyText"/>
        <w:rPr>
          <w:color w:val="333333" w:themeColor="background1"/>
        </w:rPr>
      </w:pPr>
      <w:r w:rsidRPr="00F041AD">
        <w:rPr>
          <w:color w:val="333333" w:themeColor="background1"/>
        </w:rPr>
        <w:lastRenderedPageBreak/>
        <w:t>By providing support to local</w:t>
      </w:r>
      <w:r w:rsidR="004308E1">
        <w:rPr>
          <w:color w:val="333333" w:themeColor="background1"/>
        </w:rPr>
        <w:t xml:space="preserve"> governments</w:t>
      </w:r>
      <w:r w:rsidRPr="00F041AD">
        <w:rPr>
          <w:color w:val="333333" w:themeColor="background1"/>
        </w:rPr>
        <w:t xml:space="preserve"> and tribal </w:t>
      </w:r>
      <w:r w:rsidR="004308E1">
        <w:rPr>
          <w:color w:val="333333" w:themeColor="background1"/>
        </w:rPr>
        <w:t>nations</w:t>
      </w:r>
      <w:r w:rsidR="004308E1" w:rsidRPr="00F041AD">
        <w:rPr>
          <w:color w:val="333333" w:themeColor="background1"/>
        </w:rPr>
        <w:t xml:space="preserve"> </w:t>
      </w:r>
      <w:r w:rsidRPr="00F041AD">
        <w:rPr>
          <w:color w:val="333333" w:themeColor="background1"/>
        </w:rPr>
        <w:t>in their energy-related planning activities, state- and local-level actors can spread best practices in ensuring that local economic development goes hand-in-hand with energy cost savings.</w:t>
      </w:r>
    </w:p>
    <w:p w14:paraId="4C6098DA" w14:textId="77777777" w:rsidR="00B65A50" w:rsidRPr="00F041AD" w:rsidRDefault="00B65A50" w:rsidP="00FC7DC8">
      <w:pPr>
        <w:pStyle w:val="5BodyText"/>
        <w:rPr>
          <w:color w:val="333333" w:themeColor="background1"/>
        </w:rPr>
      </w:pPr>
    </w:p>
    <w:p w14:paraId="30D4C5E1" w14:textId="77777777" w:rsidR="00B65A50" w:rsidRPr="00F041AD" w:rsidRDefault="00B65A50" w:rsidP="00FC7DC8">
      <w:pPr>
        <w:pStyle w:val="5BodyText"/>
        <w:rPr>
          <w:color w:val="333333" w:themeColor="background1"/>
        </w:rPr>
      </w:pPr>
      <w:r w:rsidRPr="00F041AD">
        <w:rPr>
          <w:color w:val="333333" w:themeColor="background1"/>
        </w:rPr>
        <w:t xml:space="preserve">This strategy covers methods of advancing local energy planning through the development of resources and tools. Actions include identifying baseline energy use in the community, setting goals accordingly, and planning for the future. </w:t>
      </w:r>
    </w:p>
    <w:p w14:paraId="6DB804AE" w14:textId="77777777" w:rsidR="00B65A50" w:rsidRPr="00F041AD" w:rsidRDefault="00B65A50" w:rsidP="00FC7DC8">
      <w:pPr>
        <w:pStyle w:val="5BodyText"/>
        <w:rPr>
          <w:color w:val="333333" w:themeColor="background1"/>
        </w:rPr>
      </w:pPr>
    </w:p>
    <w:p w14:paraId="47986D0A" w14:textId="77777777" w:rsidR="00B65A50" w:rsidRPr="00F041AD" w:rsidRDefault="00B65A50" w:rsidP="00FC7DC8">
      <w:pPr>
        <w:pStyle w:val="5BodyText"/>
        <w:rPr>
          <w:b/>
          <w:bCs/>
          <w:i/>
          <w:iCs/>
          <w:color w:val="333333" w:themeColor="background1"/>
        </w:rPr>
      </w:pPr>
      <w:r w:rsidRPr="00F041AD">
        <w:rPr>
          <w:b/>
          <w:bCs/>
          <w:i/>
          <w:iCs/>
          <w:color w:val="333333" w:themeColor="background1"/>
        </w:rPr>
        <w:t>Specific actions for strategy implementation</w:t>
      </w:r>
    </w:p>
    <w:p w14:paraId="3D9BECC7" w14:textId="77777777" w:rsidR="00B65A50" w:rsidRPr="00F041AD" w:rsidRDefault="00B65A50" w:rsidP="00FC7DC8">
      <w:pPr>
        <w:pStyle w:val="5BodyText"/>
        <w:rPr>
          <w:color w:val="333333" w:themeColor="background1"/>
        </w:rPr>
      </w:pPr>
    </w:p>
    <w:p w14:paraId="21D76776" w14:textId="038DEF57" w:rsidR="00B65A50" w:rsidRPr="00F041AD" w:rsidRDefault="00B65A50" w:rsidP="00FC7DC8">
      <w:pPr>
        <w:pStyle w:val="5BodyText"/>
        <w:numPr>
          <w:ilvl w:val="0"/>
          <w:numId w:val="125"/>
        </w:numPr>
        <w:rPr>
          <w:color w:val="333333" w:themeColor="background1"/>
          <w:highlight w:val="white"/>
        </w:rPr>
      </w:pPr>
      <w:r w:rsidRPr="00F041AD">
        <w:rPr>
          <w:b/>
          <w:color w:val="333333" w:themeColor="background1"/>
          <w:highlight w:val="white"/>
        </w:rPr>
        <w:t>Collect, analyze, and report community scale data on energy use and associated greenhouse gas emissions</w:t>
      </w:r>
      <w:r w:rsidRPr="00F041AD">
        <w:rPr>
          <w:color w:val="333333" w:themeColor="background1"/>
          <w:highlight w:val="white"/>
        </w:rPr>
        <w:t xml:space="preserve">. A baseline analysis identifies each community’s major sources of energy use and greenhouse gas emissions, thereby helping planners make informed decisions about where to focus reduction efforts. This type of baseline analysis has already been conducted for over 27 Minnesota cities through the Regional Indicators Initiative and independent collaborations between local governments and technical consultants. Expanding these efforts to cities, counties, and tribal </w:t>
      </w:r>
      <w:r w:rsidR="004308E1">
        <w:rPr>
          <w:color w:val="333333" w:themeColor="background1"/>
          <w:highlight w:val="white"/>
        </w:rPr>
        <w:t>nations</w:t>
      </w:r>
      <w:r w:rsidR="004308E1" w:rsidRPr="00F041AD">
        <w:rPr>
          <w:color w:val="333333" w:themeColor="background1"/>
          <w:highlight w:val="white"/>
        </w:rPr>
        <w:t xml:space="preserve"> </w:t>
      </w:r>
      <w:r w:rsidRPr="00F041AD">
        <w:rPr>
          <w:color w:val="333333" w:themeColor="background1"/>
          <w:highlight w:val="white"/>
        </w:rPr>
        <w:t xml:space="preserve">across the state would be invaluable to informing decision-making at the local, regional, and statewide scales. </w:t>
      </w:r>
      <w:r w:rsidRPr="00F041AD">
        <w:rPr>
          <w:color w:val="333333" w:themeColor="background1"/>
        </w:rPr>
        <w:t xml:space="preserve">Ideally, energy costs would be incorporated into the analyses, enabling planners to identify potential economic savings associated with </w:t>
      </w:r>
      <w:r w:rsidRPr="00F041AD">
        <w:rPr>
          <w:color w:val="333333" w:themeColor="background1"/>
          <w:highlight w:val="white"/>
        </w:rPr>
        <w:t xml:space="preserve">energy efficient practices. In addition to collecting past energy data to establish a baseline, the continued collection of data is critical to measure progress over time. </w:t>
      </w:r>
    </w:p>
    <w:p w14:paraId="5FA8D330" w14:textId="77777777" w:rsidR="00B65A50" w:rsidRPr="00F041AD" w:rsidRDefault="00B65A50" w:rsidP="00FC7DC8">
      <w:pPr>
        <w:pStyle w:val="5BodyText"/>
        <w:rPr>
          <w:color w:val="333333" w:themeColor="background1"/>
        </w:rPr>
      </w:pPr>
    </w:p>
    <w:p w14:paraId="6ABAB08D" w14:textId="77777777" w:rsidR="00B65A50" w:rsidRPr="00F041AD" w:rsidRDefault="00B65A50" w:rsidP="00FC7DC8">
      <w:pPr>
        <w:pStyle w:val="5BodyText"/>
        <w:ind w:left="720"/>
        <w:rPr>
          <w:color w:val="333333" w:themeColor="background1"/>
        </w:rPr>
      </w:pPr>
      <w:r w:rsidRPr="00F041AD">
        <w:rPr>
          <w:b/>
          <w:color w:val="333333" w:themeColor="background1"/>
          <w:highlight w:val="white"/>
        </w:rPr>
        <w:t>Champions/Key Participations:</w:t>
      </w:r>
      <w:r w:rsidRPr="00F041AD">
        <w:rPr>
          <w:color w:val="333333" w:themeColor="background1"/>
        </w:rPr>
        <w:t xml:space="preserve"> </w:t>
      </w:r>
    </w:p>
    <w:p w14:paraId="17140271" w14:textId="77777777" w:rsidR="00B65A50" w:rsidRPr="00F041AD" w:rsidRDefault="00B65A50" w:rsidP="00FC7DC8">
      <w:pPr>
        <w:pStyle w:val="5BodyText"/>
        <w:ind w:left="720"/>
        <w:rPr>
          <w:color w:val="333333" w:themeColor="background1"/>
        </w:rPr>
      </w:pPr>
      <w:r w:rsidRPr="00F041AD">
        <w:rPr>
          <w:color w:val="333333" w:themeColor="background1"/>
        </w:rPr>
        <w:t xml:space="preserve">- LHB—As leaders of the Regional Indicators Initiative, LHB will coordinate development of an automated online database to collect and report community scale data. </w:t>
      </w:r>
    </w:p>
    <w:p w14:paraId="75AE6E22" w14:textId="77777777" w:rsidR="00B65A50" w:rsidRPr="00F041AD" w:rsidRDefault="00B65A50" w:rsidP="00FC7DC8">
      <w:pPr>
        <w:pStyle w:val="5BodyText"/>
        <w:ind w:left="720"/>
        <w:rPr>
          <w:color w:val="333333" w:themeColor="background1"/>
        </w:rPr>
      </w:pPr>
      <w:r w:rsidRPr="00F041AD">
        <w:rPr>
          <w:color w:val="333333" w:themeColor="background1"/>
        </w:rPr>
        <w:t xml:space="preserve">- Minnesota Pollution Control Agency via </w:t>
      </w:r>
      <w:proofErr w:type="spellStart"/>
      <w:r w:rsidRPr="00F041AD">
        <w:rPr>
          <w:color w:val="333333" w:themeColor="background1"/>
        </w:rPr>
        <w:t>GreenStep</w:t>
      </w:r>
      <w:proofErr w:type="spellEnd"/>
      <w:r w:rsidRPr="00F041AD">
        <w:rPr>
          <w:color w:val="333333" w:themeColor="background1"/>
        </w:rPr>
        <w:t xml:space="preserve"> Cities</w:t>
      </w:r>
    </w:p>
    <w:p w14:paraId="3FC3FA53" w14:textId="77777777" w:rsidR="00B65A50" w:rsidRPr="00F041AD" w:rsidRDefault="00B65A50" w:rsidP="00FC7DC8">
      <w:pPr>
        <w:pStyle w:val="5BodyText"/>
        <w:ind w:left="720"/>
        <w:rPr>
          <w:color w:val="333333" w:themeColor="background1"/>
        </w:rPr>
      </w:pPr>
      <w:r w:rsidRPr="00F041AD">
        <w:rPr>
          <w:color w:val="333333" w:themeColor="background1"/>
        </w:rPr>
        <w:t>- Metropolitan Council</w:t>
      </w:r>
    </w:p>
    <w:p w14:paraId="5C671240" w14:textId="77777777" w:rsidR="00B65A50" w:rsidRPr="00F041AD" w:rsidRDefault="00B65A50" w:rsidP="00FC7DC8">
      <w:pPr>
        <w:pStyle w:val="5BodyText"/>
        <w:ind w:left="720"/>
        <w:rPr>
          <w:color w:val="333333" w:themeColor="background1"/>
        </w:rPr>
      </w:pPr>
      <w:r w:rsidRPr="00F041AD">
        <w:rPr>
          <w:color w:val="333333" w:themeColor="background1"/>
        </w:rPr>
        <w:t>- Minnesota Department of Commerce</w:t>
      </w:r>
    </w:p>
    <w:p w14:paraId="793401C1" w14:textId="77777777" w:rsidR="00B65A50" w:rsidRPr="00F041AD" w:rsidRDefault="00B65A50" w:rsidP="00FC7DC8">
      <w:pPr>
        <w:pStyle w:val="5BodyText"/>
        <w:ind w:left="720"/>
        <w:rPr>
          <w:color w:val="333333" w:themeColor="background1"/>
        </w:rPr>
      </w:pPr>
      <w:r w:rsidRPr="00F041AD">
        <w:rPr>
          <w:color w:val="333333" w:themeColor="background1"/>
        </w:rPr>
        <w:t xml:space="preserve">- Utilities will be relied upon to provide community level energy data. </w:t>
      </w:r>
    </w:p>
    <w:p w14:paraId="5B344784" w14:textId="77777777" w:rsidR="00B65A50" w:rsidRPr="00F041AD" w:rsidRDefault="00B65A50" w:rsidP="00FC7DC8">
      <w:pPr>
        <w:pStyle w:val="5BodyText"/>
        <w:rPr>
          <w:color w:val="333333" w:themeColor="background1"/>
        </w:rPr>
      </w:pPr>
    </w:p>
    <w:p w14:paraId="7FA87D46" w14:textId="77777777" w:rsidR="00B65A50" w:rsidRPr="00F041AD" w:rsidRDefault="00B65A50" w:rsidP="00FC7DC8">
      <w:pPr>
        <w:pStyle w:val="5BodyText"/>
        <w:numPr>
          <w:ilvl w:val="0"/>
          <w:numId w:val="125"/>
        </w:numPr>
        <w:rPr>
          <w:color w:val="333333" w:themeColor="background1"/>
        </w:rPr>
      </w:pPr>
      <w:r w:rsidRPr="00F041AD">
        <w:rPr>
          <w:b/>
          <w:color w:val="333333" w:themeColor="background1"/>
        </w:rPr>
        <w:t>Support the integration of energy and resilience planning into the upcoming comprehensive plan updates for local governments within the seven-county Metropolitan Council area.</w:t>
      </w:r>
      <w:r w:rsidRPr="00F041AD" w:rsidDel="0080434A">
        <w:rPr>
          <w:b/>
          <w:color w:val="333333" w:themeColor="background1"/>
        </w:rPr>
        <w:t xml:space="preserve"> </w:t>
      </w:r>
      <w:r w:rsidRPr="00F041AD">
        <w:rPr>
          <w:color w:val="333333" w:themeColor="background1"/>
        </w:rPr>
        <w:t xml:space="preserve">Cities, townships, and counties within the seven-county metropolitan region are currently preparing updates to their comprehensive plans, as required by the Metropolitan Land Planning Act. These updates are due December 31, 2018. Although comprehensive energy planning is not a required element of these </w:t>
      </w:r>
      <w:r w:rsidRPr="00F041AD">
        <w:rPr>
          <w:color w:val="333333" w:themeColor="background1"/>
        </w:rPr>
        <w:lastRenderedPageBreak/>
        <w:t xml:space="preserve">plans, this update provides an opportunity for local governments to add value by planning their energy future. </w:t>
      </w:r>
    </w:p>
    <w:p w14:paraId="7DDADCF6" w14:textId="77777777" w:rsidR="00B65A50" w:rsidRPr="00F041AD" w:rsidRDefault="00B65A50" w:rsidP="00FC7DC8">
      <w:pPr>
        <w:pStyle w:val="5BodyText"/>
        <w:ind w:left="720"/>
        <w:rPr>
          <w:b/>
          <w:color w:val="333333" w:themeColor="background1"/>
        </w:rPr>
      </w:pPr>
    </w:p>
    <w:p w14:paraId="505BD75B" w14:textId="77777777" w:rsidR="00B65A50" w:rsidRPr="00F041AD" w:rsidRDefault="00B65A50" w:rsidP="00FC7DC8">
      <w:pPr>
        <w:pStyle w:val="5BodyText"/>
        <w:ind w:left="720"/>
        <w:rPr>
          <w:color w:val="333333" w:themeColor="background1"/>
        </w:rPr>
      </w:pPr>
      <w:r w:rsidRPr="00F041AD">
        <w:rPr>
          <w:color w:val="333333" w:themeColor="background1"/>
        </w:rPr>
        <w:t>This action includes the development of resources and tools to assist in this process, such as case studies of successful energy plans, calculators to determine potential reduction impacts of specific energy strategies, and energy planning templates that can be directly incorporated into comprehensive plans. To ensure usefulness and ease of use, local government stakeholders may be engaged in the development of these tools.</w:t>
      </w:r>
    </w:p>
    <w:p w14:paraId="6E619FFD" w14:textId="77777777" w:rsidR="00B65A50" w:rsidRPr="00F041AD" w:rsidRDefault="00B65A50" w:rsidP="00FC7DC8">
      <w:pPr>
        <w:pStyle w:val="5BodyText"/>
        <w:rPr>
          <w:b/>
          <w:color w:val="333333" w:themeColor="background1"/>
        </w:rPr>
      </w:pPr>
    </w:p>
    <w:p w14:paraId="32439643" w14:textId="77777777" w:rsidR="00B65A50" w:rsidRPr="00F041AD" w:rsidRDefault="00B65A50" w:rsidP="00FC7DC8">
      <w:pPr>
        <w:pStyle w:val="5BodyText"/>
        <w:ind w:left="720"/>
        <w:rPr>
          <w:color w:val="333333" w:themeColor="background1"/>
        </w:rPr>
      </w:pPr>
      <w:r w:rsidRPr="00F041AD">
        <w:rPr>
          <w:color w:val="333333" w:themeColor="background1"/>
        </w:rPr>
        <w:t>In addition to the development of resources and tools, this action would include education and outreach to communicate the value of energy and resilience planning and to provide training and technical assistance to local governments. This action should extend beyond the current comprehensive planning timeframe, as the tools, resources, processes, and expertise developed within the next ten years will set the stage for greater adoption of energy and resilience planning in the next round of comprehensive plan updates in 2030.</w:t>
      </w:r>
    </w:p>
    <w:p w14:paraId="65E84ACD" w14:textId="77777777" w:rsidR="00B65A50" w:rsidRPr="00F041AD" w:rsidRDefault="00B65A50" w:rsidP="00FC7DC8">
      <w:pPr>
        <w:pStyle w:val="5BodyText"/>
        <w:rPr>
          <w:color w:val="333333" w:themeColor="background1"/>
        </w:rPr>
      </w:pPr>
    </w:p>
    <w:p w14:paraId="1B8A78BC" w14:textId="77777777" w:rsidR="00B65A50" w:rsidRPr="00F041AD" w:rsidRDefault="00B65A50" w:rsidP="00FC7DC8">
      <w:pPr>
        <w:pStyle w:val="5BodyText"/>
        <w:ind w:left="720"/>
        <w:rPr>
          <w:color w:val="333333" w:themeColor="background1"/>
        </w:rPr>
      </w:pPr>
      <w:r w:rsidRPr="00F041AD">
        <w:rPr>
          <w:b/>
          <w:color w:val="333333" w:themeColor="background1"/>
          <w:highlight w:val="white"/>
        </w:rPr>
        <w:t>Champions/Key Participations:</w:t>
      </w:r>
      <w:r w:rsidRPr="00F041AD">
        <w:rPr>
          <w:color w:val="333333" w:themeColor="background1"/>
        </w:rPr>
        <w:t xml:space="preserve"> </w:t>
      </w:r>
    </w:p>
    <w:p w14:paraId="2A468B1B" w14:textId="77777777" w:rsidR="00B65A50" w:rsidRPr="00F041AD" w:rsidRDefault="00B65A50" w:rsidP="00FC7DC8">
      <w:pPr>
        <w:pStyle w:val="5BodyText"/>
        <w:ind w:left="720"/>
        <w:rPr>
          <w:color w:val="333333" w:themeColor="background1"/>
        </w:rPr>
      </w:pPr>
      <w:r w:rsidRPr="00F041AD">
        <w:rPr>
          <w:color w:val="333333" w:themeColor="background1"/>
        </w:rPr>
        <w:t>- The Metropolitan Council provides resources and tools through their online Local Planning Handbook, hosts workshops and events, and provides in-person technical assistance in the comprehensive planning process.</w:t>
      </w:r>
    </w:p>
    <w:p w14:paraId="6F53573C" w14:textId="77777777" w:rsidR="00B65A50" w:rsidRPr="00F041AD" w:rsidRDefault="00B65A50" w:rsidP="00FC7DC8">
      <w:pPr>
        <w:pStyle w:val="5BodyText"/>
        <w:ind w:left="720"/>
        <w:rPr>
          <w:color w:val="333333" w:themeColor="background1"/>
        </w:rPr>
      </w:pPr>
      <w:r w:rsidRPr="00F041AD">
        <w:rPr>
          <w:color w:val="333333" w:themeColor="background1"/>
        </w:rPr>
        <w:t>- Funded through a Department of Energy grant, the Local Government Energy Planning Team (made up by the Department of Commerce, LHB, Great Plains Institute, Energy Transition Lab, and Center for Science, Technology, and Environmental Policy) will work with local government partners to develop, pilot, and disseminate energy planning resources and tools.</w:t>
      </w:r>
    </w:p>
    <w:p w14:paraId="6B467D20" w14:textId="77777777" w:rsidR="00B65A50" w:rsidRPr="00F041AD" w:rsidRDefault="00B65A50" w:rsidP="00FC7DC8">
      <w:pPr>
        <w:pStyle w:val="5BodyText"/>
        <w:ind w:left="720"/>
        <w:rPr>
          <w:color w:val="333333" w:themeColor="background1"/>
        </w:rPr>
      </w:pPr>
      <w:r w:rsidRPr="00F041AD">
        <w:rPr>
          <w:color w:val="333333" w:themeColor="background1"/>
        </w:rPr>
        <w:t>-</w:t>
      </w:r>
      <w:r w:rsidRPr="00F041AD">
        <w:rPr>
          <w:b/>
          <w:color w:val="333333" w:themeColor="background1"/>
        </w:rPr>
        <w:t xml:space="preserve"> </w:t>
      </w:r>
      <w:r w:rsidRPr="00F041AD">
        <w:rPr>
          <w:color w:val="333333" w:themeColor="background1"/>
        </w:rPr>
        <w:t xml:space="preserve">Local Government Energy Planning partners (to be selected by June 2016) </w:t>
      </w:r>
      <w:r w:rsidRPr="00F041AD">
        <w:rPr>
          <w:color w:val="333333" w:themeColor="background1"/>
        </w:rPr>
        <w:br/>
      </w:r>
    </w:p>
    <w:p w14:paraId="0A3B16DC" w14:textId="77238237" w:rsidR="00B65A50" w:rsidRPr="00F041AD" w:rsidRDefault="00B65A50" w:rsidP="00FC7DC8">
      <w:pPr>
        <w:pStyle w:val="5BodyText"/>
        <w:numPr>
          <w:ilvl w:val="0"/>
          <w:numId w:val="125"/>
        </w:numPr>
        <w:rPr>
          <w:color w:val="333333" w:themeColor="background1"/>
        </w:rPr>
      </w:pPr>
      <w:r w:rsidRPr="00F041AD">
        <w:rPr>
          <w:b/>
          <w:color w:val="333333" w:themeColor="background1"/>
        </w:rPr>
        <w:t xml:space="preserve">Support energy and resilience planning in Greater Minnesota. </w:t>
      </w:r>
      <w:r w:rsidRPr="00F041AD">
        <w:rPr>
          <w:color w:val="333333" w:themeColor="background1"/>
        </w:rPr>
        <w:t xml:space="preserve">Building off of the resources and tools mentioned in the action above, champions and key participants would engage local </w:t>
      </w:r>
      <w:r w:rsidR="004308E1">
        <w:rPr>
          <w:color w:val="333333" w:themeColor="background1"/>
        </w:rPr>
        <w:t xml:space="preserve">governments </w:t>
      </w:r>
      <w:r w:rsidRPr="00F041AD">
        <w:rPr>
          <w:color w:val="333333" w:themeColor="background1"/>
        </w:rPr>
        <w:t xml:space="preserve">and tribal </w:t>
      </w:r>
      <w:r w:rsidR="004308E1">
        <w:rPr>
          <w:color w:val="333333" w:themeColor="background1"/>
        </w:rPr>
        <w:t>nations</w:t>
      </w:r>
      <w:r w:rsidR="004308E1" w:rsidRPr="00F041AD">
        <w:rPr>
          <w:color w:val="333333" w:themeColor="background1"/>
        </w:rPr>
        <w:t xml:space="preserve"> </w:t>
      </w:r>
      <w:r w:rsidRPr="00F041AD">
        <w:rPr>
          <w:color w:val="333333" w:themeColor="background1"/>
        </w:rPr>
        <w:t>to tailor energy and resilience planning tools to suit their local authority, regulatory processes, and specific needs and goals.</w:t>
      </w:r>
    </w:p>
    <w:p w14:paraId="17E8AE7F" w14:textId="77777777" w:rsidR="00B65A50" w:rsidRPr="00F041AD" w:rsidRDefault="00B65A50" w:rsidP="00FC7DC8">
      <w:pPr>
        <w:pStyle w:val="5BodyText"/>
        <w:rPr>
          <w:color w:val="333333" w:themeColor="background1"/>
        </w:rPr>
      </w:pPr>
    </w:p>
    <w:p w14:paraId="547AF6EE" w14:textId="77777777" w:rsidR="00B65A50" w:rsidRPr="00F041AD" w:rsidRDefault="00B65A50" w:rsidP="00FC7DC8">
      <w:pPr>
        <w:pStyle w:val="5BodyText"/>
        <w:ind w:left="720"/>
        <w:rPr>
          <w:color w:val="333333" w:themeColor="background1"/>
        </w:rPr>
      </w:pPr>
      <w:r w:rsidRPr="00F041AD">
        <w:rPr>
          <w:b/>
          <w:color w:val="333333" w:themeColor="background1"/>
          <w:highlight w:val="white"/>
        </w:rPr>
        <w:t>Champions/Key Participations:</w:t>
      </w:r>
      <w:r w:rsidRPr="00F041AD">
        <w:rPr>
          <w:color w:val="333333" w:themeColor="background1"/>
        </w:rPr>
        <w:t xml:space="preserve"> </w:t>
      </w:r>
    </w:p>
    <w:p w14:paraId="0C5FFC87" w14:textId="77777777" w:rsidR="00B65A50" w:rsidRPr="00F041AD" w:rsidRDefault="00B65A50" w:rsidP="00FC7DC8">
      <w:pPr>
        <w:pStyle w:val="5BodyText"/>
        <w:ind w:left="720"/>
        <w:rPr>
          <w:color w:val="333333" w:themeColor="background1"/>
        </w:rPr>
      </w:pPr>
      <w:r w:rsidRPr="00F041AD">
        <w:rPr>
          <w:color w:val="333333" w:themeColor="background1"/>
        </w:rPr>
        <w:t xml:space="preserve">- Minnesota Pollution Control Agency via </w:t>
      </w:r>
      <w:proofErr w:type="spellStart"/>
      <w:r w:rsidRPr="00F041AD">
        <w:rPr>
          <w:color w:val="333333" w:themeColor="background1"/>
        </w:rPr>
        <w:t>GreenStep</w:t>
      </w:r>
      <w:proofErr w:type="spellEnd"/>
      <w:r w:rsidRPr="00F041AD">
        <w:rPr>
          <w:color w:val="333333" w:themeColor="background1"/>
        </w:rPr>
        <w:t xml:space="preserve"> Cities </w:t>
      </w:r>
    </w:p>
    <w:p w14:paraId="59678861" w14:textId="77777777" w:rsidR="00B65A50" w:rsidRPr="00F041AD" w:rsidRDefault="00B65A50" w:rsidP="00FC7DC8">
      <w:pPr>
        <w:pStyle w:val="5BodyText"/>
        <w:ind w:left="720"/>
        <w:rPr>
          <w:color w:val="333333" w:themeColor="background1"/>
        </w:rPr>
      </w:pPr>
      <w:r w:rsidRPr="00F041AD">
        <w:rPr>
          <w:color w:val="333333" w:themeColor="background1"/>
        </w:rPr>
        <w:t>- Xcel’s Partners in Energy (</w:t>
      </w:r>
      <w:proofErr w:type="spellStart"/>
      <w:r w:rsidRPr="00F041AD">
        <w:rPr>
          <w:color w:val="333333" w:themeColor="background1"/>
        </w:rPr>
        <w:t>PiE</w:t>
      </w:r>
      <w:proofErr w:type="spellEnd"/>
      <w:r w:rsidRPr="00F041AD">
        <w:rPr>
          <w:color w:val="333333" w:themeColor="background1"/>
        </w:rPr>
        <w:t xml:space="preserve">) Program </w:t>
      </w:r>
    </w:p>
    <w:p w14:paraId="73E7DA0F" w14:textId="77777777" w:rsidR="00B65A50" w:rsidRPr="00F041AD" w:rsidRDefault="00B65A50" w:rsidP="00FC7DC8">
      <w:pPr>
        <w:pStyle w:val="5BodyText"/>
        <w:ind w:left="720"/>
        <w:rPr>
          <w:color w:val="333333" w:themeColor="background1"/>
        </w:rPr>
      </w:pPr>
      <w:r w:rsidRPr="00F041AD">
        <w:rPr>
          <w:color w:val="333333" w:themeColor="background1"/>
        </w:rPr>
        <w:t>- Utilities</w:t>
      </w:r>
    </w:p>
    <w:p w14:paraId="20A57613" w14:textId="77777777" w:rsidR="00B65A50" w:rsidRPr="00F041AD" w:rsidRDefault="00B65A50" w:rsidP="00FC7DC8">
      <w:pPr>
        <w:pStyle w:val="5BodyText"/>
        <w:numPr>
          <w:ilvl w:val="0"/>
          <w:numId w:val="125"/>
        </w:numPr>
        <w:rPr>
          <w:color w:val="333333" w:themeColor="background1"/>
        </w:rPr>
      </w:pPr>
      <w:r w:rsidRPr="00F041AD">
        <w:rPr>
          <w:b/>
          <w:color w:val="333333" w:themeColor="background1"/>
        </w:rPr>
        <w:lastRenderedPageBreak/>
        <w:t xml:space="preserve">Identify opportunities to integrate energy planning into planning for other community systems and infrastructure. </w:t>
      </w:r>
      <w:r w:rsidRPr="00F041AD">
        <w:rPr>
          <w:color w:val="333333" w:themeColor="background1"/>
        </w:rPr>
        <w:t>To identify these opportunities, state agencies, local governments, campuses, and other stakeholders would need to collaborate and coordinate with one another. The approach would involve identifying common triggers for performing energy upgrades, and to recognizing these opportunities with enough advance notice to integrate energy planning into other community planning processes. Examples of integrated energy planning could include upgrading district energy infrastructure while also redoing sewer infrastructure. Communities that demonstrate integrated energy planning could be rewarded by being scored higher on state grant applications for water or other infrastructure.</w:t>
      </w:r>
    </w:p>
    <w:p w14:paraId="06AF7DDD" w14:textId="77777777" w:rsidR="00B65A50" w:rsidRPr="00F041AD" w:rsidRDefault="00B65A50" w:rsidP="00FC7DC8">
      <w:pPr>
        <w:pStyle w:val="5BodyText"/>
        <w:ind w:left="720"/>
        <w:rPr>
          <w:b/>
          <w:color w:val="333333" w:themeColor="background1"/>
        </w:rPr>
      </w:pPr>
    </w:p>
    <w:p w14:paraId="157C3B4A" w14:textId="77777777" w:rsidR="00B65A50" w:rsidRPr="00F041AD" w:rsidRDefault="00B65A50" w:rsidP="00FC7DC8">
      <w:pPr>
        <w:pStyle w:val="5BodyText"/>
        <w:ind w:left="720"/>
        <w:rPr>
          <w:color w:val="333333" w:themeColor="background1"/>
        </w:rPr>
      </w:pPr>
      <w:r w:rsidRPr="00F041AD">
        <w:rPr>
          <w:b/>
          <w:color w:val="333333" w:themeColor="background1"/>
        </w:rPr>
        <w:t>Champions/ Key Participants:</w:t>
      </w:r>
      <w:r w:rsidRPr="00F041AD">
        <w:rPr>
          <w:rFonts w:eastAsia="Times New Roman" w:cs="Times New Roman"/>
          <w:b/>
          <w:color w:val="333333" w:themeColor="background1"/>
        </w:rPr>
        <w:t xml:space="preserve"> </w:t>
      </w:r>
      <w:r w:rsidRPr="00F041AD">
        <w:rPr>
          <w:b/>
          <w:color w:val="333333" w:themeColor="background1"/>
        </w:rPr>
        <w:t xml:space="preserve"> </w:t>
      </w:r>
    </w:p>
    <w:p w14:paraId="59FB3B9B" w14:textId="77777777" w:rsidR="00B65A50" w:rsidRPr="00F041AD" w:rsidRDefault="00B65A50" w:rsidP="00FC7DC8">
      <w:pPr>
        <w:pStyle w:val="5BodyText"/>
        <w:ind w:left="720"/>
        <w:rPr>
          <w:color w:val="333333" w:themeColor="background1"/>
        </w:rPr>
      </w:pPr>
      <w:r w:rsidRPr="00F041AD">
        <w:rPr>
          <w:color w:val="333333" w:themeColor="background1"/>
        </w:rPr>
        <w:t>- Environmental Quality Board (EQB) would facilitate connections across state government to promote alignment of state technical resources and programs.</w:t>
      </w:r>
    </w:p>
    <w:p w14:paraId="162A8C38" w14:textId="77777777" w:rsidR="00B65A50" w:rsidRPr="00F041AD" w:rsidRDefault="00B65A50" w:rsidP="00FC7DC8">
      <w:pPr>
        <w:pStyle w:val="5BodyText"/>
        <w:ind w:left="720"/>
        <w:rPr>
          <w:rFonts w:eastAsia="Times New Roman" w:cs="Times New Roman"/>
          <w:color w:val="333333" w:themeColor="background1"/>
        </w:rPr>
      </w:pPr>
      <w:r w:rsidRPr="00F041AD">
        <w:rPr>
          <w:rFonts w:eastAsia="Times New Roman" w:cs="Times New Roman"/>
          <w:color w:val="333333" w:themeColor="background1"/>
        </w:rPr>
        <w:t>- District Energy St. Paul</w:t>
      </w:r>
    </w:p>
    <w:p w14:paraId="7951EAD3" w14:textId="77777777" w:rsidR="00B65A50" w:rsidRPr="00F041AD" w:rsidRDefault="00B65A50" w:rsidP="00FC7DC8">
      <w:pPr>
        <w:pStyle w:val="5BodyText"/>
        <w:ind w:left="720"/>
        <w:rPr>
          <w:color w:val="333333" w:themeColor="background1"/>
        </w:rPr>
      </w:pPr>
      <w:r w:rsidRPr="00F041AD">
        <w:rPr>
          <w:rFonts w:eastAsia="Times New Roman" w:cs="Times New Roman"/>
          <w:color w:val="333333" w:themeColor="background1"/>
        </w:rPr>
        <w:t>- University of Minnesota</w:t>
      </w:r>
    </w:p>
    <w:p w14:paraId="56AAA07B" w14:textId="77777777" w:rsidR="00B65A50" w:rsidRPr="00F041AD" w:rsidRDefault="00B65A50" w:rsidP="00FC7DC8">
      <w:pPr>
        <w:pStyle w:val="5BodyText"/>
        <w:ind w:left="720"/>
        <w:rPr>
          <w:color w:val="333333" w:themeColor="background1"/>
        </w:rPr>
      </w:pPr>
    </w:p>
    <w:p w14:paraId="6ADB6406" w14:textId="77777777" w:rsidR="00B65A50" w:rsidRPr="00F041AD" w:rsidRDefault="00B65A50" w:rsidP="00FC7DC8">
      <w:pPr>
        <w:pStyle w:val="5BodyText"/>
        <w:numPr>
          <w:ilvl w:val="0"/>
          <w:numId w:val="125"/>
        </w:numPr>
        <w:rPr>
          <w:color w:val="333333" w:themeColor="background1"/>
        </w:rPr>
      </w:pPr>
      <w:r w:rsidRPr="00F041AD">
        <w:rPr>
          <w:b/>
          <w:color w:val="333333" w:themeColor="background1"/>
        </w:rPr>
        <w:t>Develop energy and climate goals and action plans at a community level.</w:t>
      </w:r>
      <w:r w:rsidRPr="00F041AD">
        <w:rPr>
          <w:color w:val="333333" w:themeColor="background1"/>
        </w:rPr>
        <w:t xml:space="preserve"> Using baseline energy data, communities would develop goals and action plans separate from comprehensive plans and may not retain the same legal nature. Nonprofits and state agencies can collaborate with tribal nations in particular to identify opportunities and reach out when resources are available to support their energy projects.</w:t>
      </w:r>
    </w:p>
    <w:p w14:paraId="7D99361C" w14:textId="77777777" w:rsidR="00B65A50" w:rsidRPr="00F041AD" w:rsidRDefault="00B65A50" w:rsidP="00FC7DC8">
      <w:pPr>
        <w:pStyle w:val="5BodyText"/>
        <w:ind w:left="720"/>
        <w:rPr>
          <w:b/>
          <w:color w:val="333333" w:themeColor="background1"/>
        </w:rPr>
      </w:pPr>
    </w:p>
    <w:p w14:paraId="79BDBACB" w14:textId="77777777" w:rsidR="00B65A50" w:rsidRPr="00F041AD" w:rsidRDefault="00B65A50" w:rsidP="00FC7DC8">
      <w:pPr>
        <w:pStyle w:val="5BodyText"/>
        <w:ind w:left="720"/>
        <w:rPr>
          <w:b/>
          <w:color w:val="333333" w:themeColor="background1"/>
        </w:rPr>
      </w:pPr>
      <w:r w:rsidRPr="00F041AD">
        <w:rPr>
          <w:b/>
          <w:color w:val="333333" w:themeColor="background1"/>
        </w:rPr>
        <w:t xml:space="preserve">Champions/Key Participants: </w:t>
      </w:r>
    </w:p>
    <w:p w14:paraId="7EB3E9DD" w14:textId="77777777" w:rsidR="00B65A50" w:rsidRPr="00F041AD" w:rsidRDefault="00B65A50" w:rsidP="00FC7DC8">
      <w:pPr>
        <w:pStyle w:val="5BodyText"/>
        <w:ind w:left="720"/>
        <w:rPr>
          <w:color w:val="333333" w:themeColor="background1"/>
        </w:rPr>
      </w:pPr>
      <w:r w:rsidRPr="00F041AD">
        <w:rPr>
          <w:color w:val="333333" w:themeColor="background1"/>
        </w:rPr>
        <w:t>-</w:t>
      </w:r>
      <w:r w:rsidRPr="00F041AD">
        <w:rPr>
          <w:b/>
          <w:color w:val="333333" w:themeColor="background1"/>
        </w:rPr>
        <w:t xml:space="preserve"> </w:t>
      </w:r>
      <w:r w:rsidRPr="00F041AD">
        <w:rPr>
          <w:color w:val="333333" w:themeColor="background1"/>
        </w:rPr>
        <w:t>Regional Indicators Initiative</w:t>
      </w:r>
    </w:p>
    <w:p w14:paraId="571FC7AF" w14:textId="77777777" w:rsidR="00B65A50" w:rsidRPr="00F041AD" w:rsidRDefault="00B65A50" w:rsidP="00FC7DC8">
      <w:pPr>
        <w:pStyle w:val="5BodyText"/>
        <w:ind w:left="720"/>
        <w:rPr>
          <w:color w:val="333333" w:themeColor="background1"/>
        </w:rPr>
      </w:pPr>
      <w:r w:rsidRPr="00F041AD">
        <w:rPr>
          <w:color w:val="333333" w:themeColor="background1"/>
        </w:rPr>
        <w:t>- Metropolitan Council</w:t>
      </w:r>
    </w:p>
    <w:p w14:paraId="793C5CE9" w14:textId="77777777" w:rsidR="00B65A50" w:rsidRPr="00F041AD" w:rsidRDefault="00B65A50" w:rsidP="00FC7DC8">
      <w:pPr>
        <w:pStyle w:val="5BodyText"/>
        <w:ind w:left="720"/>
        <w:rPr>
          <w:color w:val="333333" w:themeColor="background1"/>
        </w:rPr>
      </w:pPr>
      <w:r w:rsidRPr="00F041AD">
        <w:rPr>
          <w:color w:val="333333" w:themeColor="background1"/>
        </w:rPr>
        <w:t xml:space="preserve">- Center for Energy and Environment </w:t>
      </w:r>
    </w:p>
    <w:p w14:paraId="1BC55CC5" w14:textId="77777777" w:rsidR="00B65A50" w:rsidRPr="00F041AD" w:rsidRDefault="00B65A50" w:rsidP="00FC7DC8">
      <w:pPr>
        <w:pStyle w:val="5BodyText"/>
        <w:ind w:left="720"/>
        <w:rPr>
          <w:color w:val="333333" w:themeColor="background1"/>
        </w:rPr>
      </w:pPr>
      <w:r w:rsidRPr="00F041AD">
        <w:rPr>
          <w:color w:val="333333" w:themeColor="background1"/>
        </w:rPr>
        <w:t>- Xcel’s Partners in Energy (</w:t>
      </w:r>
      <w:proofErr w:type="spellStart"/>
      <w:r w:rsidRPr="00F041AD">
        <w:rPr>
          <w:color w:val="333333" w:themeColor="background1"/>
        </w:rPr>
        <w:t>PiE</w:t>
      </w:r>
      <w:proofErr w:type="spellEnd"/>
      <w:r w:rsidRPr="00F041AD">
        <w:rPr>
          <w:color w:val="333333" w:themeColor="background1"/>
        </w:rPr>
        <w:t xml:space="preserve">) Program </w:t>
      </w:r>
    </w:p>
    <w:p w14:paraId="7D84AA6F" w14:textId="77777777" w:rsidR="00B65A50" w:rsidRPr="00F041AD" w:rsidRDefault="00B65A50" w:rsidP="00FC7DC8">
      <w:pPr>
        <w:pStyle w:val="5BodyText"/>
        <w:ind w:left="720"/>
        <w:rPr>
          <w:color w:val="333333" w:themeColor="background1"/>
        </w:rPr>
      </w:pPr>
      <w:r w:rsidRPr="00F041AD">
        <w:rPr>
          <w:color w:val="333333" w:themeColor="background1"/>
        </w:rPr>
        <w:t>- Great Plains Institute</w:t>
      </w:r>
    </w:p>
    <w:p w14:paraId="658B5F5B" w14:textId="77777777" w:rsidR="00B65A50" w:rsidRPr="00F041AD" w:rsidRDefault="00B65A50" w:rsidP="00FC7DC8">
      <w:pPr>
        <w:pStyle w:val="5BodyText"/>
        <w:ind w:left="720"/>
        <w:rPr>
          <w:b/>
          <w:color w:val="333333" w:themeColor="background1"/>
        </w:rPr>
      </w:pPr>
      <w:r w:rsidRPr="00F041AD">
        <w:rPr>
          <w:color w:val="333333" w:themeColor="background1"/>
        </w:rPr>
        <w:t xml:space="preserve">- Minnesota Pollution Control Agency via </w:t>
      </w:r>
      <w:proofErr w:type="spellStart"/>
      <w:r w:rsidRPr="00F041AD">
        <w:rPr>
          <w:color w:val="333333" w:themeColor="background1"/>
        </w:rPr>
        <w:t>GreenStep</w:t>
      </w:r>
      <w:proofErr w:type="spellEnd"/>
      <w:r w:rsidRPr="00F041AD">
        <w:rPr>
          <w:color w:val="333333" w:themeColor="background1"/>
        </w:rPr>
        <w:t xml:space="preserve"> Cities</w:t>
      </w:r>
    </w:p>
    <w:p w14:paraId="2ED609CA" w14:textId="77777777" w:rsidR="00B65A50" w:rsidRPr="00F041AD" w:rsidRDefault="00B65A50" w:rsidP="00FC7DC8">
      <w:pPr>
        <w:pStyle w:val="5BodyText"/>
        <w:ind w:left="720"/>
        <w:rPr>
          <w:color w:val="333333" w:themeColor="background1"/>
        </w:rPr>
      </w:pPr>
      <w:r w:rsidRPr="00F041AD">
        <w:rPr>
          <w:color w:val="333333" w:themeColor="background1"/>
        </w:rPr>
        <w:t>- Local governments</w:t>
      </w:r>
    </w:p>
    <w:p w14:paraId="64425B27" w14:textId="77777777" w:rsidR="00B65A50" w:rsidRPr="00F041AD" w:rsidRDefault="00B65A50" w:rsidP="00FC7DC8">
      <w:pPr>
        <w:pStyle w:val="5BodyText"/>
        <w:ind w:left="720"/>
        <w:rPr>
          <w:color w:val="333333" w:themeColor="background1"/>
        </w:rPr>
      </w:pPr>
      <w:r w:rsidRPr="00F041AD">
        <w:rPr>
          <w:color w:val="333333" w:themeColor="background1"/>
        </w:rPr>
        <w:t>-</w:t>
      </w:r>
      <w:r w:rsidRPr="00F041AD">
        <w:rPr>
          <w:b/>
          <w:color w:val="333333" w:themeColor="background1"/>
        </w:rPr>
        <w:t xml:space="preserve"> </w:t>
      </w:r>
      <w:r w:rsidRPr="00F041AD">
        <w:rPr>
          <w:color w:val="333333" w:themeColor="background1"/>
        </w:rPr>
        <w:t>Utilities</w:t>
      </w:r>
    </w:p>
    <w:p w14:paraId="60AFE007" w14:textId="77777777" w:rsidR="00B65A50" w:rsidRPr="00F041AD" w:rsidRDefault="00B65A50" w:rsidP="00FC7DC8">
      <w:pPr>
        <w:pStyle w:val="5BodyText"/>
        <w:rPr>
          <w:color w:val="333333" w:themeColor="background1"/>
        </w:rPr>
      </w:pPr>
    </w:p>
    <w:p w14:paraId="563245DB" w14:textId="77777777" w:rsidR="00B65A50" w:rsidRPr="00F041AD" w:rsidRDefault="00B65A50" w:rsidP="00FC7DC8">
      <w:pPr>
        <w:pStyle w:val="5BodyText"/>
        <w:rPr>
          <w:b/>
          <w:i/>
          <w:color w:val="333333" w:themeColor="background1"/>
        </w:rPr>
      </w:pPr>
      <w:r w:rsidRPr="00F041AD">
        <w:rPr>
          <w:b/>
          <w:i/>
          <w:color w:val="333333" w:themeColor="background1"/>
        </w:rPr>
        <w:t>Success factors</w:t>
      </w:r>
    </w:p>
    <w:p w14:paraId="61AED02D" w14:textId="77777777" w:rsidR="00B65A50" w:rsidRPr="00F041AD" w:rsidRDefault="00B65A50" w:rsidP="00FC7DC8">
      <w:pPr>
        <w:pStyle w:val="5BodyText"/>
        <w:numPr>
          <w:ilvl w:val="0"/>
          <w:numId w:val="126"/>
        </w:numPr>
        <w:rPr>
          <w:b/>
          <w:color w:val="333333" w:themeColor="background1"/>
        </w:rPr>
      </w:pPr>
      <w:r w:rsidRPr="00F041AD">
        <w:rPr>
          <w:b/>
          <w:color w:val="333333" w:themeColor="background1"/>
        </w:rPr>
        <w:t>Community-level energy data is available statewide</w:t>
      </w:r>
      <w:r w:rsidRPr="00F041AD">
        <w:rPr>
          <w:color w:val="333333" w:themeColor="background1"/>
        </w:rPr>
        <w:t xml:space="preserve"> for use in energy planning. This would likely require collaboration with both investor-owned and municipal utilities and co-ops in order to gather consistent and complete data.</w:t>
      </w:r>
    </w:p>
    <w:p w14:paraId="0A754497" w14:textId="77777777" w:rsidR="00B65A50" w:rsidRPr="00F041AD" w:rsidRDefault="00B65A50" w:rsidP="00FC7DC8">
      <w:pPr>
        <w:pStyle w:val="5BodyText"/>
        <w:rPr>
          <w:b/>
          <w:color w:val="333333" w:themeColor="background1"/>
        </w:rPr>
      </w:pPr>
    </w:p>
    <w:p w14:paraId="4FD4FA18" w14:textId="77777777" w:rsidR="00B65A50" w:rsidRPr="00F041AD" w:rsidRDefault="00B65A50" w:rsidP="00FC7DC8">
      <w:pPr>
        <w:pStyle w:val="5BodyText"/>
        <w:numPr>
          <w:ilvl w:val="0"/>
          <w:numId w:val="126"/>
        </w:numPr>
        <w:rPr>
          <w:color w:val="333333" w:themeColor="background1"/>
        </w:rPr>
      </w:pPr>
      <w:r w:rsidRPr="00F041AD">
        <w:rPr>
          <w:b/>
          <w:color w:val="333333" w:themeColor="background1"/>
        </w:rPr>
        <w:t xml:space="preserve">Processes cultivate community leaders </w:t>
      </w:r>
      <w:r w:rsidRPr="00F041AD">
        <w:rPr>
          <w:color w:val="333333" w:themeColor="background1"/>
        </w:rPr>
        <w:t>and empower them with information and resources. Local leaders are key to achieving success.</w:t>
      </w:r>
      <w:r w:rsidRPr="00F041AD">
        <w:rPr>
          <w:color w:val="333333" w:themeColor="background1"/>
        </w:rPr>
        <w:br/>
      </w:r>
    </w:p>
    <w:p w14:paraId="388B4F20" w14:textId="28477F3A" w:rsidR="00B65A50" w:rsidRPr="00F041AD" w:rsidRDefault="00B65A50" w:rsidP="00FC7DC8">
      <w:pPr>
        <w:pStyle w:val="5BodyText"/>
        <w:numPr>
          <w:ilvl w:val="0"/>
          <w:numId w:val="126"/>
        </w:numPr>
        <w:rPr>
          <w:color w:val="333333" w:themeColor="background1"/>
        </w:rPr>
      </w:pPr>
      <w:r w:rsidRPr="00F041AD">
        <w:rPr>
          <w:b/>
          <w:color w:val="333333" w:themeColor="background1"/>
        </w:rPr>
        <w:t>Local</w:t>
      </w:r>
      <w:r w:rsidR="004308E1">
        <w:rPr>
          <w:b/>
          <w:color w:val="333333" w:themeColor="background1"/>
        </w:rPr>
        <w:t xml:space="preserve"> governments</w:t>
      </w:r>
      <w:r w:rsidRPr="00F041AD">
        <w:rPr>
          <w:b/>
          <w:color w:val="333333" w:themeColor="background1"/>
        </w:rPr>
        <w:t xml:space="preserve"> and tribal </w:t>
      </w:r>
      <w:r w:rsidR="004308E1">
        <w:rPr>
          <w:b/>
          <w:color w:val="333333" w:themeColor="background1"/>
        </w:rPr>
        <w:t>nations</w:t>
      </w:r>
      <w:r w:rsidR="004308E1" w:rsidRPr="00F041AD">
        <w:rPr>
          <w:b/>
          <w:color w:val="333333" w:themeColor="background1"/>
        </w:rPr>
        <w:t xml:space="preserve"> </w:t>
      </w:r>
      <w:r w:rsidRPr="00F041AD">
        <w:rPr>
          <w:b/>
          <w:color w:val="333333" w:themeColor="background1"/>
        </w:rPr>
        <w:t xml:space="preserve">are invested in improving their energy future </w:t>
      </w:r>
      <w:r w:rsidRPr="00F041AD">
        <w:rPr>
          <w:color w:val="333333" w:themeColor="background1"/>
        </w:rPr>
        <w:t xml:space="preserve">and have resources available to support continued progress. Local environmental commissions and/or paid sustainability coordinators help to maintain clean energy development as a priority.   </w:t>
      </w:r>
    </w:p>
    <w:p w14:paraId="53674163" w14:textId="77777777" w:rsidR="00B65A50" w:rsidRPr="00F041AD" w:rsidRDefault="00B65A50" w:rsidP="00FC7DC8">
      <w:pPr>
        <w:pStyle w:val="5BodyText"/>
        <w:rPr>
          <w:color w:val="333333" w:themeColor="background1"/>
        </w:rPr>
      </w:pPr>
    </w:p>
    <w:p w14:paraId="3B4446BC" w14:textId="77777777" w:rsidR="00B65A50" w:rsidRPr="00F041AD" w:rsidRDefault="00B65A50" w:rsidP="00FC7DC8">
      <w:pPr>
        <w:pStyle w:val="5BodyText"/>
        <w:numPr>
          <w:ilvl w:val="0"/>
          <w:numId w:val="126"/>
        </w:numPr>
        <w:rPr>
          <w:color w:val="333333" w:themeColor="background1"/>
        </w:rPr>
      </w:pPr>
      <w:r w:rsidRPr="00F041AD">
        <w:rPr>
          <w:b/>
          <w:color w:val="333333" w:themeColor="background1"/>
        </w:rPr>
        <w:t>Planning processes are transparent and collaborative</w:t>
      </w:r>
      <w:r w:rsidRPr="00F041AD">
        <w:rPr>
          <w:color w:val="333333" w:themeColor="background1"/>
        </w:rPr>
        <w:t>, and lead to a shared vision for the community’s energy future.</w:t>
      </w:r>
      <w:r w:rsidRPr="00F041AD">
        <w:rPr>
          <w:color w:val="333333" w:themeColor="background1"/>
        </w:rPr>
        <w:br/>
      </w:r>
    </w:p>
    <w:p w14:paraId="455A76FC" w14:textId="77777777" w:rsidR="00B65A50" w:rsidRPr="00F041AD" w:rsidRDefault="00B65A50" w:rsidP="00FC7DC8">
      <w:pPr>
        <w:pStyle w:val="5BodyText"/>
        <w:numPr>
          <w:ilvl w:val="0"/>
          <w:numId w:val="126"/>
        </w:numPr>
        <w:rPr>
          <w:color w:val="333333" w:themeColor="background1"/>
        </w:rPr>
      </w:pPr>
      <w:r w:rsidRPr="00F041AD">
        <w:rPr>
          <w:b/>
          <w:color w:val="333333" w:themeColor="background1"/>
        </w:rPr>
        <w:t>Community members are engaged throughout planning processes</w:t>
      </w:r>
      <w:r w:rsidRPr="00F041AD">
        <w:rPr>
          <w:color w:val="333333" w:themeColor="background1"/>
        </w:rPr>
        <w:t>, including: business leaders, large energy consumers, neighborhood groups, and historically underrepresented groups. These and other community members are engaged early and often through public forums or workshops, a formal citizen advisory commission, or in an ad hoc fashion.</w:t>
      </w:r>
      <w:r w:rsidRPr="00F041AD">
        <w:rPr>
          <w:color w:val="333333" w:themeColor="background1"/>
        </w:rPr>
        <w:br/>
      </w:r>
    </w:p>
    <w:p w14:paraId="3A936F79" w14:textId="77777777" w:rsidR="00B65A50" w:rsidRPr="00F041AD" w:rsidRDefault="00B65A50" w:rsidP="00FC7DC8">
      <w:pPr>
        <w:pStyle w:val="5BodyText"/>
        <w:numPr>
          <w:ilvl w:val="0"/>
          <w:numId w:val="126"/>
        </w:numPr>
        <w:rPr>
          <w:color w:val="333333" w:themeColor="background1"/>
        </w:rPr>
      </w:pPr>
      <w:r w:rsidRPr="00F041AD">
        <w:rPr>
          <w:b/>
          <w:color w:val="333333" w:themeColor="background1"/>
        </w:rPr>
        <w:t>Third-party advisors, nonprofits, and state agencies build local capacity</w:t>
      </w:r>
      <w:r w:rsidRPr="00F041AD">
        <w:rPr>
          <w:color w:val="333333" w:themeColor="background1"/>
        </w:rPr>
        <w:t xml:space="preserve"> for addressing climate and energy opportunities.</w:t>
      </w:r>
    </w:p>
    <w:p w14:paraId="45284B33" w14:textId="77777777" w:rsidR="00B65A50" w:rsidRPr="00F041AD" w:rsidRDefault="00B65A50" w:rsidP="00FC7DC8">
      <w:pPr>
        <w:pStyle w:val="5BodyText"/>
        <w:rPr>
          <w:color w:val="333333" w:themeColor="background1"/>
        </w:rPr>
      </w:pPr>
    </w:p>
    <w:p w14:paraId="35D9BFFD" w14:textId="1BA9ED52" w:rsidR="00B65A50" w:rsidRPr="00F041AD" w:rsidRDefault="00B65A50" w:rsidP="00FC7DC8">
      <w:pPr>
        <w:pStyle w:val="7Caption"/>
        <w:rPr>
          <w:color w:val="333333" w:themeColor="background1"/>
        </w:rPr>
      </w:pPr>
      <w:bookmarkStart w:id="280" w:name="_Toc322958527"/>
      <w:r w:rsidRPr="00F041AD">
        <w:rPr>
          <w:color w:val="333333" w:themeColor="background1"/>
        </w:rPr>
        <w:lastRenderedPageBreak/>
        <w:t xml:space="preserve">Figure </w:t>
      </w:r>
      <w:r w:rsidR="0010025D" w:rsidRPr="00F041AD">
        <w:rPr>
          <w:color w:val="333333" w:themeColor="background1"/>
        </w:rPr>
        <w:fldChar w:fldCharType="begin"/>
      </w:r>
      <w:r w:rsidR="0010025D" w:rsidRPr="00F041AD">
        <w:rPr>
          <w:color w:val="333333" w:themeColor="background1"/>
        </w:rPr>
        <w:instrText xml:space="preserve"> SEQ Figure \* ARABIC </w:instrText>
      </w:r>
      <w:r w:rsidR="0010025D" w:rsidRPr="00F041AD">
        <w:rPr>
          <w:color w:val="333333" w:themeColor="background1"/>
        </w:rPr>
        <w:fldChar w:fldCharType="separate"/>
      </w:r>
      <w:r w:rsidR="00171E58">
        <w:rPr>
          <w:noProof/>
          <w:color w:val="333333" w:themeColor="background1"/>
        </w:rPr>
        <w:t>18</w:t>
      </w:r>
      <w:r w:rsidR="0010025D" w:rsidRPr="00F041AD">
        <w:rPr>
          <w:noProof/>
          <w:color w:val="333333" w:themeColor="background1"/>
        </w:rPr>
        <w:fldChar w:fldCharType="end"/>
      </w:r>
      <w:r w:rsidR="005C4F4F" w:rsidRPr="00F041AD">
        <w:rPr>
          <w:noProof/>
          <w:color w:val="333333" w:themeColor="background1"/>
        </w:rPr>
        <w:t>:</w:t>
      </w:r>
      <w:r w:rsidRPr="00F041AD">
        <w:rPr>
          <w:color w:val="333333" w:themeColor="background1"/>
        </w:rPr>
        <w:t xml:space="preserve"> Key elements of community energy planning.</w:t>
      </w:r>
      <w:bookmarkEnd w:id="280"/>
      <w:r w:rsidRPr="00F041AD">
        <w:rPr>
          <w:color w:val="333333" w:themeColor="background1"/>
        </w:rPr>
        <w:t xml:space="preserve"> </w:t>
      </w:r>
    </w:p>
    <w:p w14:paraId="7DA72C4A" w14:textId="77777777" w:rsidR="00B65A50" w:rsidRPr="00F041AD" w:rsidRDefault="00B65A50" w:rsidP="00FC7DC8">
      <w:pPr>
        <w:pStyle w:val="5BodyText"/>
        <w:rPr>
          <w:color w:val="333333" w:themeColor="background1"/>
        </w:rPr>
      </w:pPr>
      <w:r w:rsidRPr="00F041AD">
        <w:rPr>
          <w:noProof/>
          <w:color w:val="333333" w:themeColor="background1"/>
          <w:lang w:eastAsia="en-US"/>
        </w:rPr>
        <w:drawing>
          <wp:inline distT="0" distB="0" distL="0" distR="0" wp14:anchorId="193F5C11" wp14:editId="67AA8EAD">
            <wp:extent cx="6400171" cy="4451773"/>
            <wp:effectExtent l="0" t="0" r="635" b="0"/>
            <wp:docPr id="21" name="image24.png" descr="Macintosh HD:Users:cowens:Desktop:Screen Shot 2016-02-05 at 8.55.21 AM.png"/>
            <wp:cNvGraphicFramePr/>
            <a:graphic xmlns:a="http://schemas.openxmlformats.org/drawingml/2006/main">
              <a:graphicData uri="http://schemas.openxmlformats.org/drawingml/2006/picture">
                <pic:pic xmlns:pic="http://schemas.openxmlformats.org/drawingml/2006/picture">
                  <pic:nvPicPr>
                    <pic:cNvPr id="0" name="image24.png" descr="Macintosh HD:Users:cowens:Desktop:Screen Shot 2016-02-05 at 8.55.21 AM.png"/>
                    <pic:cNvPicPr preferRelativeResize="0"/>
                  </pic:nvPicPr>
                  <pic:blipFill>
                    <a:blip r:embed="rId243"/>
                    <a:srcRect/>
                    <a:stretch>
                      <a:fillRect/>
                    </a:stretch>
                  </pic:blipFill>
                  <pic:spPr>
                    <a:xfrm>
                      <a:off x="0" y="0"/>
                      <a:ext cx="6402129" cy="4453135"/>
                    </a:xfrm>
                    <a:prstGeom prst="rect">
                      <a:avLst/>
                    </a:prstGeom>
                    <a:ln/>
                  </pic:spPr>
                </pic:pic>
              </a:graphicData>
            </a:graphic>
          </wp:inline>
        </w:drawing>
      </w:r>
    </w:p>
    <w:p w14:paraId="115B1BDB" w14:textId="77777777" w:rsidR="00B65A50" w:rsidRPr="00F041AD" w:rsidRDefault="00B65A50" w:rsidP="00FC7DC8">
      <w:pPr>
        <w:pStyle w:val="5BodyText"/>
        <w:rPr>
          <w:color w:val="333333" w:themeColor="background1"/>
          <w:sz w:val="18"/>
        </w:rPr>
      </w:pPr>
      <w:r w:rsidRPr="00F041AD">
        <w:rPr>
          <w:color w:val="333333" w:themeColor="background1"/>
          <w:sz w:val="18"/>
        </w:rPr>
        <w:t>Source: Rocky Mountain Institute</w:t>
      </w:r>
      <w:r w:rsidRPr="00F041AD">
        <w:rPr>
          <w:i/>
          <w:color w:val="333333" w:themeColor="background1"/>
          <w:sz w:val="18"/>
        </w:rPr>
        <w:t>, Community Energy Resource Guide</w:t>
      </w:r>
      <w:r w:rsidRPr="00F041AD">
        <w:rPr>
          <w:color w:val="333333" w:themeColor="background1"/>
          <w:sz w:val="18"/>
        </w:rPr>
        <w:t>, 2015</w:t>
      </w:r>
    </w:p>
    <w:p w14:paraId="6F485588" w14:textId="77777777" w:rsidR="00B65A50" w:rsidRPr="00F041AD" w:rsidRDefault="00B65A50" w:rsidP="00FC7DC8">
      <w:pPr>
        <w:pStyle w:val="5BodyText"/>
        <w:rPr>
          <w:color w:val="333333" w:themeColor="background1"/>
        </w:rPr>
      </w:pPr>
    </w:p>
    <w:p w14:paraId="45062C5B" w14:textId="77777777" w:rsidR="00B65A50" w:rsidRPr="00F041AD" w:rsidRDefault="00B65A50" w:rsidP="00FC7DC8">
      <w:pPr>
        <w:pStyle w:val="5BodyText"/>
        <w:rPr>
          <w:color w:val="333333" w:themeColor="background1"/>
        </w:rPr>
      </w:pPr>
    </w:p>
    <w:p w14:paraId="18E072E8" w14:textId="77777777" w:rsidR="00B65A50" w:rsidRPr="00F041AD" w:rsidRDefault="00B65A50" w:rsidP="00FC7DC8">
      <w:pPr>
        <w:pStyle w:val="5BodyText"/>
        <w:rPr>
          <w:b/>
          <w:i/>
          <w:color w:val="333333" w:themeColor="background1"/>
        </w:rPr>
      </w:pPr>
      <w:r w:rsidRPr="00F041AD">
        <w:rPr>
          <w:b/>
          <w:i/>
          <w:color w:val="333333" w:themeColor="background1"/>
        </w:rPr>
        <w:t>Indicators of strategy success</w:t>
      </w:r>
    </w:p>
    <w:p w14:paraId="75A4EB92" w14:textId="77777777" w:rsidR="00B65A50" w:rsidRPr="00F041AD" w:rsidRDefault="00B65A50" w:rsidP="00FC7DC8">
      <w:pPr>
        <w:pStyle w:val="5BodyText"/>
        <w:numPr>
          <w:ilvl w:val="0"/>
          <w:numId w:val="127"/>
        </w:numPr>
        <w:rPr>
          <w:color w:val="333333" w:themeColor="background1"/>
        </w:rPr>
      </w:pPr>
      <w:r w:rsidRPr="00F041AD">
        <w:rPr>
          <w:color w:val="333333" w:themeColor="background1"/>
        </w:rPr>
        <w:t>Number of communities that have conducted/updated baseline energy analyses for their communities</w:t>
      </w:r>
    </w:p>
    <w:p w14:paraId="52EE3035" w14:textId="77777777" w:rsidR="00B65A50" w:rsidRPr="00F041AD" w:rsidRDefault="00B65A50" w:rsidP="00FC7DC8">
      <w:pPr>
        <w:pStyle w:val="5BodyText"/>
        <w:numPr>
          <w:ilvl w:val="0"/>
          <w:numId w:val="127"/>
        </w:numPr>
        <w:rPr>
          <w:color w:val="333333" w:themeColor="background1"/>
        </w:rPr>
      </w:pPr>
      <w:r w:rsidRPr="00F041AD">
        <w:rPr>
          <w:color w:val="333333" w:themeColor="background1"/>
        </w:rPr>
        <w:t>Number of communities that have adopted energy and climate goals or action plans</w:t>
      </w:r>
    </w:p>
    <w:p w14:paraId="16BC37F3" w14:textId="77777777" w:rsidR="00B65A50" w:rsidRPr="00F041AD" w:rsidRDefault="00B65A50" w:rsidP="00FC7DC8">
      <w:pPr>
        <w:pStyle w:val="5BodyText"/>
        <w:numPr>
          <w:ilvl w:val="0"/>
          <w:numId w:val="127"/>
        </w:numPr>
        <w:rPr>
          <w:color w:val="333333" w:themeColor="background1"/>
        </w:rPr>
      </w:pPr>
      <w:r w:rsidRPr="00F041AD">
        <w:rPr>
          <w:color w:val="333333" w:themeColor="background1"/>
        </w:rPr>
        <w:t>Number of communities that have incorporated energy into community planning</w:t>
      </w:r>
    </w:p>
    <w:p w14:paraId="4DBB1ED2" w14:textId="77777777" w:rsidR="00B65A50" w:rsidRPr="00F041AD" w:rsidRDefault="00B65A50" w:rsidP="00FC7DC8">
      <w:pPr>
        <w:pStyle w:val="5BodyText"/>
        <w:numPr>
          <w:ilvl w:val="0"/>
          <w:numId w:val="127"/>
        </w:numPr>
        <w:rPr>
          <w:color w:val="333333" w:themeColor="background1"/>
        </w:rPr>
      </w:pPr>
      <w:r w:rsidRPr="00F041AD">
        <w:rPr>
          <w:color w:val="333333" w:themeColor="background1"/>
        </w:rPr>
        <w:t>Annual reduction in community level energy use</w:t>
      </w:r>
    </w:p>
    <w:p w14:paraId="1E9A4B50" w14:textId="77777777" w:rsidR="00B65A50" w:rsidRPr="00F041AD" w:rsidRDefault="00B65A50" w:rsidP="00FC7DC8">
      <w:pPr>
        <w:pStyle w:val="5BodyText"/>
        <w:rPr>
          <w:color w:val="333333" w:themeColor="background1"/>
        </w:rPr>
      </w:pPr>
    </w:p>
    <w:p w14:paraId="2047FA8E" w14:textId="77777777" w:rsidR="00B65A50" w:rsidRPr="00F041AD" w:rsidRDefault="00B65A50" w:rsidP="00FC7DC8">
      <w:pPr>
        <w:pStyle w:val="5BodyText"/>
        <w:rPr>
          <w:b/>
          <w:i/>
          <w:color w:val="333333" w:themeColor="background1"/>
        </w:rPr>
      </w:pPr>
      <w:r w:rsidRPr="00F041AD">
        <w:rPr>
          <w:b/>
          <w:i/>
          <w:color w:val="333333" w:themeColor="background1"/>
        </w:rPr>
        <w:t>Cross-sector opportunities and synergies</w:t>
      </w:r>
    </w:p>
    <w:p w14:paraId="0463DFCC" w14:textId="77777777" w:rsidR="00B65A50" w:rsidRPr="00F041AD" w:rsidRDefault="00B65A50" w:rsidP="00FC7DC8">
      <w:pPr>
        <w:pStyle w:val="5BodyText"/>
        <w:numPr>
          <w:ilvl w:val="0"/>
          <w:numId w:val="128"/>
        </w:numPr>
        <w:rPr>
          <w:color w:val="333333" w:themeColor="background1"/>
        </w:rPr>
      </w:pPr>
      <w:r w:rsidRPr="00F041AD">
        <w:rPr>
          <w:color w:val="333333" w:themeColor="background1"/>
        </w:rPr>
        <w:t xml:space="preserve">Progress in </w:t>
      </w:r>
      <w:r w:rsidRPr="00F041AD">
        <w:rPr>
          <w:b/>
          <w:color w:val="333333" w:themeColor="background1"/>
        </w:rPr>
        <w:t>CHP and</w:t>
      </w:r>
      <w:r w:rsidRPr="00F041AD">
        <w:rPr>
          <w:color w:val="333333" w:themeColor="background1"/>
        </w:rPr>
        <w:t xml:space="preserve"> </w:t>
      </w:r>
      <w:r w:rsidRPr="00F041AD">
        <w:rPr>
          <w:b/>
          <w:color w:val="333333" w:themeColor="background1"/>
        </w:rPr>
        <w:t>integrated energy systems</w:t>
      </w:r>
      <w:r w:rsidRPr="00F041AD">
        <w:rPr>
          <w:color w:val="333333" w:themeColor="background1"/>
        </w:rPr>
        <w:t xml:space="preserve"> can be spurred by local planning.</w:t>
      </w:r>
    </w:p>
    <w:p w14:paraId="068D5028" w14:textId="77777777" w:rsidR="00B65A50" w:rsidRPr="00F041AD" w:rsidRDefault="00B65A50" w:rsidP="00FC7DC8">
      <w:pPr>
        <w:pStyle w:val="5BodyText"/>
        <w:numPr>
          <w:ilvl w:val="0"/>
          <w:numId w:val="128"/>
        </w:numPr>
        <w:rPr>
          <w:b/>
          <w:color w:val="333333" w:themeColor="background1"/>
        </w:rPr>
      </w:pPr>
      <w:r w:rsidRPr="00F041AD">
        <w:rPr>
          <w:color w:val="333333" w:themeColor="background1"/>
        </w:rPr>
        <w:t xml:space="preserve">Local planners can harness </w:t>
      </w:r>
      <w:r w:rsidRPr="00F041AD">
        <w:rPr>
          <w:b/>
          <w:color w:val="333333" w:themeColor="background1"/>
        </w:rPr>
        <w:t>benchmarking and disclosure</w:t>
      </w:r>
      <w:r w:rsidRPr="00F041AD">
        <w:rPr>
          <w:color w:val="333333" w:themeColor="background1"/>
        </w:rPr>
        <w:t xml:space="preserve"> programs to promote energy efficiency.</w:t>
      </w:r>
    </w:p>
    <w:p w14:paraId="7648C719" w14:textId="77777777" w:rsidR="00B65A50" w:rsidRPr="00F041AD" w:rsidRDefault="00B65A50" w:rsidP="00FC7DC8">
      <w:pPr>
        <w:pStyle w:val="5BodyText"/>
        <w:rPr>
          <w:b/>
          <w:color w:val="333333" w:themeColor="background1"/>
        </w:rPr>
      </w:pPr>
    </w:p>
    <w:p w14:paraId="610B0F9A" w14:textId="77777777" w:rsidR="00B65A50" w:rsidRPr="00F041AD" w:rsidRDefault="00B65A50" w:rsidP="00FC7DC8">
      <w:pPr>
        <w:pStyle w:val="5BodyText"/>
        <w:rPr>
          <w:color w:val="333333" w:themeColor="background1"/>
        </w:rPr>
      </w:pPr>
      <w:r w:rsidRPr="00F041AD">
        <w:rPr>
          <w:b/>
          <w:color w:val="333333" w:themeColor="background1"/>
        </w:rPr>
        <w:t>Ongoing Minnesota initiatives:</w:t>
      </w:r>
    </w:p>
    <w:p w14:paraId="00627B2A" w14:textId="77777777" w:rsidR="00B65A50" w:rsidRPr="00F041AD" w:rsidRDefault="00B65A50" w:rsidP="00FC7DC8">
      <w:pPr>
        <w:pStyle w:val="5BodyText"/>
        <w:numPr>
          <w:ilvl w:val="0"/>
          <w:numId w:val="129"/>
        </w:numPr>
        <w:rPr>
          <w:rFonts w:cs="Cambria"/>
          <w:color w:val="333333" w:themeColor="background1"/>
        </w:rPr>
      </w:pPr>
      <w:r w:rsidRPr="00F041AD">
        <w:rPr>
          <w:rFonts w:cs="Cambria"/>
          <w:color w:val="333333" w:themeColor="background1"/>
        </w:rPr>
        <w:lastRenderedPageBreak/>
        <w:t xml:space="preserve">The </w:t>
      </w:r>
      <w:hyperlink r:id="rId244" w:history="1">
        <w:r w:rsidRPr="00F041AD">
          <w:rPr>
            <w:rStyle w:val="Hyperlink"/>
            <w:rFonts w:cs="Cambria"/>
            <w:color w:val="333333" w:themeColor="background1"/>
          </w:rPr>
          <w:t>Regional Indicators Initiative</w:t>
        </w:r>
      </w:hyperlink>
      <w:r w:rsidRPr="00F041AD">
        <w:rPr>
          <w:rFonts w:cs="Cambria"/>
          <w:color w:val="333333" w:themeColor="background1"/>
        </w:rPr>
        <w:t xml:space="preserve"> has collected seven years of baseline energy and greenhouse gas emission data for 27 Minnesota cities, representing a third of the state’s population. Through the Local Government Energy Planning Project (see below), the Regional Indicators Initiative team is funded to develop an automated online database to facilitate the expanded and continued collection of this data.</w:t>
      </w:r>
      <w:r w:rsidRPr="00F041AD">
        <w:rPr>
          <w:rStyle w:val="EndnoteReference"/>
          <w:rFonts w:cs="Cambria"/>
          <w:color w:val="333333" w:themeColor="background1"/>
        </w:rPr>
        <w:endnoteReference w:id="299"/>
      </w:r>
    </w:p>
    <w:p w14:paraId="5D1BA32B" w14:textId="77777777" w:rsidR="00B65A50" w:rsidRPr="00F041AD" w:rsidRDefault="00B65A50" w:rsidP="00FC7DC8">
      <w:pPr>
        <w:pStyle w:val="5BodyText"/>
        <w:rPr>
          <w:rFonts w:cs="Cambria"/>
          <w:color w:val="333333" w:themeColor="background1"/>
        </w:rPr>
      </w:pPr>
    </w:p>
    <w:p w14:paraId="084F8935" w14:textId="77777777" w:rsidR="00B65A50" w:rsidRPr="00F041AD" w:rsidRDefault="00B65A50" w:rsidP="00FC7DC8">
      <w:pPr>
        <w:pStyle w:val="5BodyText"/>
        <w:numPr>
          <w:ilvl w:val="0"/>
          <w:numId w:val="129"/>
        </w:numPr>
        <w:rPr>
          <w:rFonts w:cs="Cambria"/>
          <w:color w:val="333333" w:themeColor="background1"/>
        </w:rPr>
      </w:pPr>
      <w:r w:rsidRPr="00F041AD">
        <w:rPr>
          <w:color w:val="333333" w:themeColor="background1"/>
        </w:rPr>
        <w:t xml:space="preserve">The </w:t>
      </w:r>
      <w:hyperlink r:id="rId245" w:history="1">
        <w:r w:rsidRPr="00F041AD">
          <w:rPr>
            <w:rStyle w:val="Hyperlink"/>
            <w:color w:val="333333" w:themeColor="background1"/>
          </w:rPr>
          <w:t>Metropolitan Council</w:t>
        </w:r>
      </w:hyperlink>
      <w:r w:rsidRPr="00F041AD">
        <w:rPr>
          <w:color w:val="333333" w:themeColor="background1"/>
        </w:rPr>
        <w:t>, along with third-party consultants, will be providing education and training workshops to address how cities can voluntarily integrate energy and resiliency planning into their comprehensive plans.</w:t>
      </w:r>
      <w:r w:rsidRPr="00F041AD">
        <w:rPr>
          <w:rStyle w:val="EndnoteReference"/>
          <w:color w:val="333333" w:themeColor="background1"/>
        </w:rPr>
        <w:endnoteReference w:id="300"/>
      </w:r>
    </w:p>
    <w:p w14:paraId="6E4F7D49" w14:textId="77777777" w:rsidR="00B65A50" w:rsidRPr="00F041AD" w:rsidRDefault="00B65A50" w:rsidP="00FC7DC8">
      <w:pPr>
        <w:pStyle w:val="5BodyText"/>
        <w:rPr>
          <w:rFonts w:cs="Cambria"/>
          <w:color w:val="333333" w:themeColor="background1"/>
        </w:rPr>
      </w:pPr>
    </w:p>
    <w:p w14:paraId="7A863AD9" w14:textId="77777777" w:rsidR="00B65A50" w:rsidRPr="00F041AD" w:rsidRDefault="00B65A50" w:rsidP="00FC7DC8">
      <w:pPr>
        <w:pStyle w:val="5BodyText"/>
        <w:numPr>
          <w:ilvl w:val="0"/>
          <w:numId w:val="129"/>
        </w:numPr>
        <w:rPr>
          <w:rFonts w:cs="Cambria"/>
          <w:color w:val="333333" w:themeColor="background1"/>
        </w:rPr>
      </w:pPr>
      <w:r w:rsidRPr="00F041AD">
        <w:rPr>
          <w:rFonts w:cs="Cambria"/>
          <w:color w:val="333333" w:themeColor="background1"/>
        </w:rPr>
        <w:t xml:space="preserve">The Local Government Energy Planning Project will create resources to assist metro area cities to integrate energy planning into their comprehensive plans. Resources to be developed include: Case studies of energy strategies implemented by exemplar cities, a wedge diagram tool for energy and greenhouse gas reduction planning with an associated menu of feasible city actions, and energy planning templates for use in the 2040 comprehensive planning process. </w:t>
      </w:r>
    </w:p>
    <w:p w14:paraId="0A8C953D" w14:textId="77777777" w:rsidR="00B65A50" w:rsidRPr="00F041AD" w:rsidRDefault="00B65A50" w:rsidP="00FC7DC8">
      <w:pPr>
        <w:pStyle w:val="5BodyText"/>
        <w:rPr>
          <w:rFonts w:cs="Cambria"/>
          <w:color w:val="333333" w:themeColor="background1"/>
        </w:rPr>
      </w:pPr>
    </w:p>
    <w:p w14:paraId="4E46091F" w14:textId="77777777" w:rsidR="00B65A50" w:rsidRPr="00F041AD" w:rsidRDefault="00B65A50" w:rsidP="00FC7DC8">
      <w:pPr>
        <w:pStyle w:val="5BodyText"/>
        <w:numPr>
          <w:ilvl w:val="0"/>
          <w:numId w:val="129"/>
        </w:numPr>
        <w:rPr>
          <w:color w:val="333333" w:themeColor="background1"/>
        </w:rPr>
      </w:pPr>
      <w:proofErr w:type="spellStart"/>
      <w:r w:rsidRPr="00F041AD">
        <w:rPr>
          <w:color w:val="333333" w:themeColor="background1"/>
        </w:rPr>
        <w:t>GreenStep</w:t>
      </w:r>
      <w:proofErr w:type="spellEnd"/>
      <w:r w:rsidRPr="00F041AD">
        <w:rPr>
          <w:color w:val="333333" w:themeColor="background1"/>
        </w:rPr>
        <w:t xml:space="preserve"> Cities Best Practices, specifically Best Practice #29: “</w:t>
      </w:r>
      <w:hyperlink r:id="rId246" w:history="1">
        <w:r w:rsidRPr="00F041AD">
          <w:rPr>
            <w:rStyle w:val="Hyperlink"/>
            <w:rFonts w:eastAsia="Times New Roman" w:cs="Arial"/>
            <w:bCs/>
            <w:color w:val="333333" w:themeColor="background1"/>
            <w:shd w:val="clear" w:color="auto" w:fill="FFFFFF"/>
          </w:rPr>
          <w:t>Climate Adaptation and Community Resilience:</w:t>
        </w:r>
      </w:hyperlink>
      <w:r w:rsidRPr="00F041AD">
        <w:rPr>
          <w:rStyle w:val="apple-converted-space"/>
          <w:rFonts w:eastAsia="Times New Roman" w:cs="Arial"/>
          <w:color w:val="333333" w:themeColor="background1"/>
          <w:shd w:val="clear" w:color="auto" w:fill="FFFFFF"/>
        </w:rPr>
        <w:t> </w:t>
      </w:r>
      <w:r w:rsidRPr="00F041AD">
        <w:rPr>
          <w:rFonts w:eastAsia="Times New Roman" w:cs="Arial"/>
          <w:color w:val="333333" w:themeColor="background1"/>
          <w:shd w:val="clear" w:color="auto" w:fill="FFFFFF"/>
        </w:rPr>
        <w:t>Plan and prepare for extreme weather, adapt to changing climatic conditions, and foster stronger community connectedness and social and economic vitality.”</w:t>
      </w:r>
      <w:r w:rsidRPr="00F041AD">
        <w:rPr>
          <w:rStyle w:val="EndnoteReference"/>
          <w:rFonts w:eastAsia="Times New Roman" w:cs="Arial"/>
          <w:color w:val="333333" w:themeColor="background1"/>
          <w:shd w:val="clear" w:color="auto" w:fill="FFFFFF"/>
        </w:rPr>
        <w:endnoteReference w:id="301"/>
      </w:r>
    </w:p>
    <w:p w14:paraId="6FD8BA6F" w14:textId="77777777" w:rsidR="00B65A50" w:rsidRPr="00F041AD" w:rsidRDefault="00B65A50" w:rsidP="00FC7DC8">
      <w:pPr>
        <w:pStyle w:val="5BodyText"/>
        <w:rPr>
          <w:color w:val="333333" w:themeColor="background1"/>
        </w:rPr>
      </w:pPr>
    </w:p>
    <w:p w14:paraId="68751BCC" w14:textId="77777777" w:rsidR="00B65A50" w:rsidRPr="00F041AD" w:rsidRDefault="00B65A50" w:rsidP="00FC7DC8">
      <w:pPr>
        <w:pStyle w:val="5BodyText"/>
        <w:numPr>
          <w:ilvl w:val="0"/>
          <w:numId w:val="129"/>
        </w:numPr>
        <w:rPr>
          <w:b/>
          <w:color w:val="333333" w:themeColor="background1"/>
        </w:rPr>
      </w:pPr>
      <w:r w:rsidRPr="00F041AD">
        <w:rPr>
          <w:color w:val="333333" w:themeColor="background1"/>
        </w:rPr>
        <w:t xml:space="preserve">Xcel’s </w:t>
      </w:r>
      <w:hyperlink r:id="rId247">
        <w:r w:rsidRPr="00F041AD">
          <w:rPr>
            <w:color w:val="333333" w:themeColor="background1"/>
            <w:u w:val="single"/>
          </w:rPr>
          <w:t>Community Energy Reports</w:t>
        </w:r>
      </w:hyperlink>
      <w:r w:rsidRPr="00F041AD">
        <w:rPr>
          <w:color w:val="333333" w:themeColor="background1"/>
          <w:u w:val="single"/>
        </w:rPr>
        <w:t>, which include data on community-level energy consumption and greenhouse gas emissions,</w:t>
      </w:r>
      <w:r w:rsidRPr="00F041AD">
        <w:rPr>
          <w:color w:val="333333" w:themeColor="background1"/>
        </w:rPr>
        <w:t xml:space="preserve"> will be available June 1, 2016 for many Minnesota cities and counties.</w:t>
      </w:r>
      <w:r w:rsidRPr="00F041AD">
        <w:rPr>
          <w:rStyle w:val="EndnoteReference"/>
          <w:color w:val="333333" w:themeColor="background1"/>
        </w:rPr>
        <w:endnoteReference w:id="302"/>
      </w:r>
      <w:r w:rsidRPr="00F041AD">
        <w:rPr>
          <w:color w:val="333333" w:themeColor="background1"/>
        </w:rPr>
        <w:t xml:space="preserve"> </w:t>
      </w:r>
    </w:p>
    <w:p w14:paraId="6FB85B77" w14:textId="77777777" w:rsidR="00B65A50" w:rsidRPr="00F041AD" w:rsidRDefault="00B65A50" w:rsidP="00FC7DC8">
      <w:pPr>
        <w:pStyle w:val="5BodyText"/>
        <w:rPr>
          <w:b/>
          <w:color w:val="333333" w:themeColor="background1"/>
        </w:rPr>
      </w:pPr>
    </w:p>
    <w:p w14:paraId="0E99D5D3" w14:textId="77777777" w:rsidR="00B65A50" w:rsidRPr="00F041AD" w:rsidRDefault="00B65A50" w:rsidP="00FC7DC8">
      <w:pPr>
        <w:pStyle w:val="5BodyText"/>
        <w:numPr>
          <w:ilvl w:val="0"/>
          <w:numId w:val="129"/>
        </w:numPr>
        <w:rPr>
          <w:color w:val="333333" w:themeColor="background1"/>
        </w:rPr>
      </w:pPr>
      <w:r w:rsidRPr="00F041AD">
        <w:rPr>
          <w:color w:val="333333" w:themeColor="background1"/>
        </w:rPr>
        <w:t xml:space="preserve">Xcel’s </w:t>
      </w:r>
      <w:hyperlink r:id="rId248">
        <w:r w:rsidRPr="00F041AD">
          <w:rPr>
            <w:color w:val="333333" w:themeColor="background1"/>
            <w:u w:val="single"/>
          </w:rPr>
          <w:t>Partners in Energy Community Program</w:t>
        </w:r>
      </w:hyperlink>
      <w:r w:rsidRPr="00F041AD">
        <w:rPr>
          <w:color w:val="333333" w:themeColor="background1"/>
        </w:rPr>
        <w:t xml:space="preserve"> is a two-year program to help city, county, and nonprofit, leaders develop energy strategies. </w:t>
      </w:r>
      <w:r w:rsidRPr="00F041AD">
        <w:rPr>
          <w:color w:val="333333" w:themeColor="background1"/>
        </w:rPr>
        <w:br/>
      </w:r>
    </w:p>
    <w:p w14:paraId="3EACC137" w14:textId="77777777" w:rsidR="00B65A50" w:rsidRPr="00F041AD" w:rsidRDefault="00B65A50" w:rsidP="00FC7DC8">
      <w:pPr>
        <w:pStyle w:val="5BodyText"/>
        <w:numPr>
          <w:ilvl w:val="0"/>
          <w:numId w:val="129"/>
        </w:numPr>
        <w:rPr>
          <w:color w:val="333333" w:themeColor="background1"/>
        </w:rPr>
      </w:pPr>
      <w:r w:rsidRPr="00F041AD">
        <w:rPr>
          <w:color w:val="333333" w:themeColor="background1"/>
        </w:rPr>
        <w:t xml:space="preserve">The open Minnesota Public Utilities Commission </w:t>
      </w:r>
      <w:hyperlink r:id="rId249" w:history="1">
        <w:r w:rsidRPr="00F041AD">
          <w:rPr>
            <w:rStyle w:val="Hyperlink"/>
            <w:color w:val="333333" w:themeColor="background1"/>
          </w:rPr>
          <w:t>docket 12-1344</w:t>
        </w:r>
      </w:hyperlink>
      <w:r w:rsidRPr="00F041AD">
        <w:rPr>
          <w:color w:val="333333" w:themeColor="background1"/>
        </w:rPr>
        <w:t xml:space="preserve"> addresses the issue of data access for communities to establish a baseline and track energy use.</w:t>
      </w:r>
      <w:r w:rsidRPr="00F041AD">
        <w:rPr>
          <w:rStyle w:val="EndnoteReference"/>
          <w:color w:val="333333" w:themeColor="background1"/>
        </w:rPr>
        <w:endnoteReference w:id="303"/>
      </w:r>
    </w:p>
    <w:p w14:paraId="047D325A" w14:textId="77777777" w:rsidR="00B65A50" w:rsidRPr="00F041AD" w:rsidRDefault="00B65A50" w:rsidP="00FC7DC8">
      <w:pPr>
        <w:pStyle w:val="5BodyText"/>
        <w:ind w:left="720"/>
        <w:rPr>
          <w:color w:val="333333" w:themeColor="background1"/>
        </w:rPr>
      </w:pPr>
    </w:p>
    <w:p w14:paraId="5201523A" w14:textId="77777777" w:rsidR="00B65A50" w:rsidRPr="00F041AD" w:rsidRDefault="006506BB" w:rsidP="00FC7DC8">
      <w:pPr>
        <w:pStyle w:val="5BodyText"/>
        <w:numPr>
          <w:ilvl w:val="0"/>
          <w:numId w:val="129"/>
        </w:numPr>
        <w:rPr>
          <w:color w:val="333333" w:themeColor="background1"/>
        </w:rPr>
      </w:pPr>
      <w:hyperlink r:id="rId250" w:history="1">
        <w:r w:rsidR="00B65A50" w:rsidRPr="00F041AD">
          <w:rPr>
            <w:rStyle w:val="Hyperlink"/>
            <w:color w:val="333333" w:themeColor="background1"/>
          </w:rPr>
          <w:t>The Serendipity Grant Program</w:t>
        </w:r>
      </w:hyperlink>
      <w:r w:rsidR="00B65A50" w:rsidRPr="00F041AD">
        <w:rPr>
          <w:color w:val="333333" w:themeColor="background1"/>
        </w:rPr>
        <w:t xml:space="preserve"> of the University of Minnesota has funded a project team of public, private, and non-profit partners to make progress “Toward a Statewide Energy Data Repository” that would collect energy data at the community scale.</w:t>
      </w:r>
      <w:r w:rsidR="00B65A50" w:rsidRPr="00F041AD">
        <w:rPr>
          <w:rStyle w:val="EndnoteReference"/>
          <w:color w:val="333333" w:themeColor="background1"/>
        </w:rPr>
        <w:endnoteReference w:id="304"/>
      </w:r>
    </w:p>
    <w:p w14:paraId="17BC695E" w14:textId="77777777" w:rsidR="00B65A50" w:rsidRPr="00F041AD" w:rsidRDefault="00B65A50" w:rsidP="00FC7DC8">
      <w:pPr>
        <w:pStyle w:val="5BodyText"/>
        <w:rPr>
          <w:color w:val="333333" w:themeColor="background1"/>
        </w:rPr>
      </w:pPr>
    </w:p>
    <w:p w14:paraId="3222FD03" w14:textId="4D9B5E5E" w:rsidR="00B65A50" w:rsidRPr="00F041AD" w:rsidRDefault="00B65A50" w:rsidP="00FC7DC8">
      <w:pPr>
        <w:pStyle w:val="5BodyText"/>
        <w:numPr>
          <w:ilvl w:val="0"/>
          <w:numId w:val="129"/>
        </w:numPr>
        <w:rPr>
          <w:color w:val="333333" w:themeColor="background1"/>
        </w:rPr>
      </w:pPr>
      <w:r w:rsidRPr="00F041AD">
        <w:rPr>
          <w:color w:val="333333" w:themeColor="background1"/>
        </w:rPr>
        <w:t>New York has developed a nationally replicable Energy Registry</w:t>
      </w:r>
      <w:r w:rsidR="00DB4072">
        <w:rPr>
          <w:color w:val="333333" w:themeColor="background1"/>
        </w:rPr>
        <w:t xml:space="preserve">, a repository for </w:t>
      </w:r>
      <w:r w:rsidRPr="00F041AD">
        <w:rPr>
          <w:color w:val="333333" w:themeColor="background1"/>
        </w:rPr>
        <w:t xml:space="preserve"> standardized community energy data </w:t>
      </w:r>
      <w:r w:rsidR="00DB4072">
        <w:rPr>
          <w:color w:val="333333" w:themeColor="background1"/>
        </w:rPr>
        <w:t xml:space="preserve">voluntarily provided by electric and gas </w:t>
      </w:r>
      <w:r w:rsidRPr="00F041AD">
        <w:rPr>
          <w:color w:val="333333" w:themeColor="background1"/>
        </w:rPr>
        <w:t xml:space="preserve">utilities. Minnesota is partnering with </w:t>
      </w:r>
      <w:r w:rsidRPr="00F041AD">
        <w:rPr>
          <w:color w:val="333333" w:themeColor="background1"/>
        </w:rPr>
        <w:lastRenderedPageBreak/>
        <w:t xml:space="preserve">the New York State Energy Research and Development Authority (NYSERDA) on a </w:t>
      </w:r>
      <w:r w:rsidR="00DB4072">
        <w:rPr>
          <w:color w:val="333333" w:themeColor="background1"/>
        </w:rPr>
        <w:t xml:space="preserve">funding </w:t>
      </w:r>
      <w:r w:rsidRPr="00F041AD">
        <w:rPr>
          <w:color w:val="333333" w:themeColor="background1"/>
        </w:rPr>
        <w:t xml:space="preserve">proposal to test how this system could be expanded to Minnesota and other states. </w:t>
      </w:r>
    </w:p>
    <w:p w14:paraId="035128F8" w14:textId="77777777" w:rsidR="00B65A50" w:rsidRPr="00F041AD" w:rsidRDefault="00B65A50" w:rsidP="00FC7DC8">
      <w:pPr>
        <w:pStyle w:val="5BodyText"/>
        <w:rPr>
          <w:color w:val="333333" w:themeColor="background1"/>
        </w:rPr>
      </w:pPr>
    </w:p>
    <w:p w14:paraId="5B9D7381" w14:textId="77777777" w:rsidR="00B65A50" w:rsidRPr="00F041AD" w:rsidRDefault="00B65A50" w:rsidP="00FC7DC8">
      <w:pPr>
        <w:pStyle w:val="5BodyText"/>
        <w:rPr>
          <w:i/>
          <w:color w:val="333333" w:themeColor="background1"/>
        </w:rPr>
      </w:pPr>
      <w:r w:rsidRPr="00F041AD">
        <w:rPr>
          <w:b/>
          <w:i/>
          <w:color w:val="333333" w:themeColor="background1"/>
        </w:rPr>
        <w:t>Other related resources</w:t>
      </w:r>
    </w:p>
    <w:p w14:paraId="42650BA9" w14:textId="77777777" w:rsidR="00B65A50" w:rsidRPr="00F041AD" w:rsidRDefault="00B65A50" w:rsidP="00FC7DC8">
      <w:pPr>
        <w:pStyle w:val="5BodyText"/>
        <w:numPr>
          <w:ilvl w:val="0"/>
          <w:numId w:val="130"/>
        </w:numPr>
        <w:rPr>
          <w:b/>
          <w:color w:val="333333" w:themeColor="background1"/>
        </w:rPr>
      </w:pPr>
      <w:r w:rsidRPr="00F041AD">
        <w:rPr>
          <w:color w:val="333333" w:themeColor="background1"/>
        </w:rPr>
        <w:t xml:space="preserve">The Metropolitan Council’s </w:t>
      </w:r>
      <w:hyperlink r:id="rId251" w:history="1">
        <w:r w:rsidRPr="00F041AD">
          <w:rPr>
            <w:rStyle w:val="Hyperlink"/>
            <w:color w:val="333333" w:themeColor="background1"/>
          </w:rPr>
          <w:t>Local Planning Handbook</w:t>
        </w:r>
      </w:hyperlink>
      <w:r w:rsidRPr="00F041AD">
        <w:rPr>
          <w:color w:val="333333" w:themeColor="background1"/>
        </w:rPr>
        <w:t xml:space="preserve"> assists communities in updating their comprehensive plans and includes specific resources on resilience planning and energy infrastructure.</w:t>
      </w:r>
      <w:r w:rsidRPr="00F041AD">
        <w:rPr>
          <w:rStyle w:val="EndnoteReference"/>
          <w:color w:val="333333" w:themeColor="background1"/>
        </w:rPr>
        <w:endnoteReference w:id="305"/>
      </w:r>
    </w:p>
    <w:p w14:paraId="397D1D2C" w14:textId="77777777" w:rsidR="00B65A50" w:rsidRPr="00F041AD" w:rsidRDefault="00B65A50" w:rsidP="00FC7DC8">
      <w:pPr>
        <w:pStyle w:val="5BodyText"/>
        <w:rPr>
          <w:b/>
          <w:color w:val="333333" w:themeColor="background1"/>
        </w:rPr>
      </w:pPr>
    </w:p>
    <w:p w14:paraId="0FD50577" w14:textId="77777777" w:rsidR="00B65A50" w:rsidRPr="00F041AD" w:rsidRDefault="00B65A50" w:rsidP="00FC7DC8">
      <w:pPr>
        <w:pStyle w:val="5BodyText"/>
        <w:numPr>
          <w:ilvl w:val="0"/>
          <w:numId w:val="130"/>
        </w:numPr>
        <w:rPr>
          <w:b/>
          <w:color w:val="333333" w:themeColor="background1"/>
        </w:rPr>
      </w:pPr>
      <w:r w:rsidRPr="00F041AD">
        <w:rPr>
          <w:color w:val="333333" w:themeColor="background1"/>
        </w:rPr>
        <w:t>The Minnesota Climate Change Vulnerability Assessment, conducted by the Minnesota Department of Health quantifies population vulnerabilities to climate hazards.</w:t>
      </w:r>
      <w:r w:rsidRPr="00F041AD">
        <w:rPr>
          <w:rStyle w:val="EndnoteReference"/>
          <w:color w:val="333333" w:themeColor="background1"/>
        </w:rPr>
        <w:endnoteReference w:id="306"/>
      </w:r>
    </w:p>
    <w:p w14:paraId="7A3F6FF5" w14:textId="77777777" w:rsidR="00B65A50" w:rsidRPr="00F041AD" w:rsidRDefault="00B65A50" w:rsidP="00FC7DC8">
      <w:pPr>
        <w:pStyle w:val="5BodyText"/>
        <w:rPr>
          <w:b/>
          <w:color w:val="333333" w:themeColor="background1"/>
        </w:rPr>
      </w:pPr>
    </w:p>
    <w:p w14:paraId="6EB70003" w14:textId="77777777" w:rsidR="00B65A50" w:rsidRPr="00F041AD" w:rsidRDefault="00B65A50" w:rsidP="00FC7DC8">
      <w:pPr>
        <w:pStyle w:val="5BodyText"/>
        <w:numPr>
          <w:ilvl w:val="0"/>
          <w:numId w:val="130"/>
        </w:numPr>
        <w:rPr>
          <w:b/>
          <w:color w:val="333333" w:themeColor="background1"/>
        </w:rPr>
      </w:pPr>
      <w:r w:rsidRPr="00F041AD">
        <w:rPr>
          <w:rFonts w:cs="Lucida Grande"/>
          <w:color w:val="333333" w:themeColor="background1"/>
          <w:szCs w:val="20"/>
        </w:rPr>
        <w:t>The U.S. Department of Energy's project</w:t>
      </w:r>
      <w:r w:rsidRPr="00F041AD">
        <w:rPr>
          <w:rFonts w:cs="Lucida Grande"/>
          <w:color w:val="333333" w:themeColor="background1"/>
          <w:sz w:val="32"/>
        </w:rPr>
        <w:t xml:space="preserve">, </w:t>
      </w:r>
      <w:hyperlink r:id="rId252">
        <w:r w:rsidRPr="00F041AD">
          <w:rPr>
            <w:color w:val="333333" w:themeColor="background1"/>
            <w:highlight w:val="white"/>
            <w:u w:val="single"/>
          </w:rPr>
          <w:t>Cities Leading through Energy Analysis and Planning (Cities-LEAP)</w:t>
        </w:r>
      </w:hyperlink>
      <w:r w:rsidRPr="00F041AD">
        <w:rPr>
          <w:color w:val="333333" w:themeColor="background1"/>
          <w:highlight w:val="white"/>
          <w:u w:val="single"/>
        </w:rPr>
        <w:t>,</w:t>
      </w:r>
      <w:r w:rsidRPr="00F041AD">
        <w:rPr>
          <w:color w:val="333333" w:themeColor="background1"/>
          <w:highlight w:val="white"/>
        </w:rPr>
        <w:t xml:space="preserve"> offers standardized, local energy data and analysis to help cities integrate strategic energy analysis into decision making)</w:t>
      </w:r>
      <w:r w:rsidRPr="00F041AD">
        <w:rPr>
          <w:color w:val="333333" w:themeColor="background1"/>
        </w:rPr>
        <w:t>. Cities-LEAP is currently in beta form.</w:t>
      </w:r>
      <w:r w:rsidRPr="00F041AD">
        <w:rPr>
          <w:rStyle w:val="EndnoteReference"/>
          <w:color w:val="333333" w:themeColor="background1"/>
        </w:rPr>
        <w:endnoteReference w:id="307"/>
      </w:r>
    </w:p>
    <w:p w14:paraId="7D887696" w14:textId="77777777" w:rsidR="00B65A50" w:rsidRPr="00F041AD" w:rsidRDefault="00B65A50" w:rsidP="00FC7DC8">
      <w:pPr>
        <w:pStyle w:val="5BodyText"/>
        <w:rPr>
          <w:b/>
          <w:color w:val="333333" w:themeColor="background1"/>
        </w:rPr>
      </w:pPr>
    </w:p>
    <w:p w14:paraId="773A504D" w14:textId="77777777" w:rsidR="00B65A50" w:rsidRPr="00F041AD" w:rsidRDefault="00B65A50" w:rsidP="00FC7DC8">
      <w:pPr>
        <w:pStyle w:val="5BodyText"/>
        <w:numPr>
          <w:ilvl w:val="0"/>
          <w:numId w:val="130"/>
        </w:numPr>
        <w:rPr>
          <w:b/>
          <w:color w:val="333333" w:themeColor="background1"/>
          <w:sz w:val="28"/>
        </w:rPr>
      </w:pPr>
      <w:r w:rsidRPr="00F041AD">
        <w:rPr>
          <w:color w:val="333333" w:themeColor="background1"/>
          <w:highlight w:val="white"/>
        </w:rPr>
        <w:t xml:space="preserve">The U.S. Department of Energy’s </w:t>
      </w:r>
      <w:r w:rsidRPr="00F041AD">
        <w:rPr>
          <w:color w:val="333333" w:themeColor="background1"/>
        </w:rPr>
        <w:t>“</w:t>
      </w:r>
      <w:hyperlink r:id="rId253">
        <w:r w:rsidRPr="00F041AD">
          <w:rPr>
            <w:color w:val="333333" w:themeColor="background1"/>
            <w:highlight w:val="white"/>
            <w:u w:val="single"/>
          </w:rPr>
          <w:t>Guide to Community Energy Strategic Planning</w:t>
        </w:r>
      </w:hyperlink>
      <w:r w:rsidRPr="00F041AD">
        <w:rPr>
          <w:color w:val="333333" w:themeColor="background1"/>
          <w:sz w:val="22"/>
        </w:rPr>
        <w:t xml:space="preserve">” </w:t>
      </w:r>
      <w:r w:rsidRPr="00F041AD">
        <w:rPr>
          <w:color w:val="333333" w:themeColor="background1"/>
        </w:rPr>
        <w:t>provides a process for strategic energy planning at the local level.</w:t>
      </w:r>
      <w:r w:rsidRPr="00F041AD">
        <w:rPr>
          <w:rStyle w:val="EndnoteReference"/>
          <w:color w:val="333333" w:themeColor="background1"/>
        </w:rPr>
        <w:endnoteReference w:id="308"/>
      </w:r>
    </w:p>
    <w:p w14:paraId="132784E6" w14:textId="77777777" w:rsidR="00B65A50" w:rsidRPr="00F041AD" w:rsidRDefault="00B65A50" w:rsidP="00FC7DC8">
      <w:pPr>
        <w:pStyle w:val="5BodyText"/>
        <w:rPr>
          <w:b/>
          <w:color w:val="333333" w:themeColor="background1"/>
        </w:rPr>
      </w:pPr>
    </w:p>
    <w:p w14:paraId="6E2226D2" w14:textId="77777777" w:rsidR="00B65A50" w:rsidRPr="00F041AD" w:rsidRDefault="00B65A50" w:rsidP="00FC7DC8">
      <w:pPr>
        <w:pStyle w:val="5BodyText"/>
        <w:numPr>
          <w:ilvl w:val="0"/>
          <w:numId w:val="130"/>
        </w:numPr>
        <w:rPr>
          <w:b/>
          <w:color w:val="333333" w:themeColor="background1"/>
        </w:rPr>
      </w:pPr>
      <w:r w:rsidRPr="00F041AD">
        <w:rPr>
          <w:color w:val="333333" w:themeColor="background1"/>
        </w:rPr>
        <w:t>Rocky Mountain Institute’s “</w:t>
      </w:r>
      <w:hyperlink r:id="rId254" w:history="1">
        <w:r w:rsidRPr="00F041AD">
          <w:rPr>
            <w:rStyle w:val="Hyperlink"/>
            <w:color w:val="333333" w:themeColor="background1"/>
          </w:rPr>
          <w:t>Community Energy Resource Guide</w:t>
        </w:r>
      </w:hyperlink>
      <w:r w:rsidRPr="00F041AD">
        <w:rPr>
          <w:color w:val="333333" w:themeColor="background1"/>
        </w:rPr>
        <w:t>” offers practical guidance and leading-edge examples of communities shaping their energy futures.</w:t>
      </w:r>
      <w:r w:rsidRPr="00F041AD">
        <w:rPr>
          <w:rStyle w:val="EndnoteReference"/>
          <w:color w:val="333333" w:themeColor="background1"/>
        </w:rPr>
        <w:endnoteReference w:id="309"/>
      </w:r>
      <w:r w:rsidRPr="00F041AD">
        <w:rPr>
          <w:color w:val="333333" w:themeColor="background1"/>
        </w:rPr>
        <w:t xml:space="preserve"> </w:t>
      </w:r>
    </w:p>
    <w:p w14:paraId="2F383A21" w14:textId="77777777" w:rsidR="00B65A50" w:rsidRPr="00F041AD" w:rsidRDefault="00B65A50" w:rsidP="00FC7DC8">
      <w:pPr>
        <w:pStyle w:val="5BodyText"/>
        <w:rPr>
          <w:rFonts w:asciiTheme="majorHAnsi" w:hAnsiTheme="majorHAnsi"/>
          <w:color w:val="333333" w:themeColor="background1"/>
        </w:rPr>
      </w:pPr>
      <w:bookmarkStart w:id="281" w:name="h.2w5ecyt" w:colFirst="0" w:colLast="0"/>
      <w:bookmarkStart w:id="282" w:name="_Toc317317617"/>
      <w:bookmarkStart w:id="283" w:name="_Toc318126192"/>
      <w:bookmarkStart w:id="284" w:name="_Toc319794297"/>
      <w:bookmarkEnd w:id="281"/>
    </w:p>
    <w:p w14:paraId="77902E62" w14:textId="1992B5E8" w:rsidR="00B65A50" w:rsidRPr="00F041AD" w:rsidRDefault="0053594C" w:rsidP="008B39AC">
      <w:pPr>
        <w:pStyle w:val="StrategyName"/>
      </w:pPr>
      <w:bookmarkStart w:id="285" w:name="_Toc322962057"/>
      <w:bookmarkStart w:id="286" w:name="_Toc322962244"/>
      <w:r>
        <w:t>E2</w:t>
      </w:r>
      <w:r w:rsidR="00B65A50" w:rsidRPr="00F041AD">
        <w:t>. Pursue near-term actions at the local level</w:t>
      </w:r>
      <w:bookmarkEnd w:id="282"/>
      <w:bookmarkEnd w:id="283"/>
      <w:bookmarkEnd w:id="284"/>
      <w:bookmarkEnd w:id="285"/>
      <w:bookmarkEnd w:id="286"/>
    </w:p>
    <w:p w14:paraId="71505E29" w14:textId="77777777" w:rsidR="00B65A50" w:rsidRPr="00F041AD" w:rsidRDefault="00B65A50" w:rsidP="00FC7DC8">
      <w:pPr>
        <w:pStyle w:val="5BodyText"/>
        <w:rPr>
          <w:color w:val="333333" w:themeColor="background1"/>
          <w:highlight w:val="white"/>
        </w:rPr>
      </w:pPr>
    </w:p>
    <w:p w14:paraId="33392EC6" w14:textId="77777777" w:rsidR="00B65A50" w:rsidRPr="00F041AD" w:rsidRDefault="00B65A50" w:rsidP="00FC7DC8">
      <w:pPr>
        <w:pStyle w:val="5BodyText"/>
        <w:rPr>
          <w:b/>
          <w:i/>
          <w:color w:val="333333" w:themeColor="background1"/>
          <w:highlight w:val="white"/>
        </w:rPr>
      </w:pPr>
      <w:r w:rsidRPr="00F041AD">
        <w:rPr>
          <w:b/>
          <w:i/>
          <w:color w:val="333333" w:themeColor="background1"/>
          <w:highlight w:val="white"/>
        </w:rPr>
        <w:t xml:space="preserve">Strategy overview </w:t>
      </w:r>
    </w:p>
    <w:p w14:paraId="33C440B7" w14:textId="77777777" w:rsidR="00B65A50" w:rsidRPr="00F041AD" w:rsidRDefault="00B65A50" w:rsidP="00FC7DC8">
      <w:pPr>
        <w:pStyle w:val="5BodyText"/>
        <w:rPr>
          <w:color w:val="333333" w:themeColor="background1"/>
          <w:highlight w:val="white"/>
        </w:rPr>
      </w:pPr>
      <w:r w:rsidRPr="00F041AD">
        <w:rPr>
          <w:color w:val="333333" w:themeColor="background1"/>
          <w:highlight w:val="white"/>
        </w:rPr>
        <w:t xml:space="preserve">Complementing the energy planning strategy, this strategy encompasses local actions that can be taken in the near term to advance a clean energy future. </w:t>
      </w:r>
      <w:r w:rsidRPr="00F041AD">
        <w:rPr>
          <w:color w:val="333333" w:themeColor="background1"/>
        </w:rPr>
        <w:t xml:space="preserve">Local governments and tribal nations </w:t>
      </w:r>
      <w:r w:rsidRPr="00F041AD">
        <w:rPr>
          <w:color w:val="333333" w:themeColor="background1"/>
          <w:highlight w:val="white"/>
        </w:rPr>
        <w:t>have a variety of policy tools at their disposal that can shape clean energy development.</w:t>
      </w:r>
    </w:p>
    <w:p w14:paraId="0AF37DB5" w14:textId="77777777" w:rsidR="00B65A50" w:rsidRPr="00F041AD" w:rsidRDefault="00B65A50" w:rsidP="00FC7DC8">
      <w:pPr>
        <w:pStyle w:val="5BodyText"/>
        <w:rPr>
          <w:color w:val="333333" w:themeColor="background1"/>
          <w:highlight w:val="white"/>
        </w:rPr>
      </w:pPr>
    </w:p>
    <w:p w14:paraId="3A2A3856" w14:textId="77777777" w:rsidR="00B65A50" w:rsidRPr="00F041AD" w:rsidRDefault="00B65A50" w:rsidP="00FC7DC8">
      <w:pPr>
        <w:pStyle w:val="5BodyText"/>
        <w:rPr>
          <w:color w:val="333333" w:themeColor="background1"/>
        </w:rPr>
      </w:pPr>
      <w:r w:rsidRPr="00F041AD">
        <w:rPr>
          <w:color w:val="333333" w:themeColor="background1"/>
        </w:rPr>
        <w:t xml:space="preserve">Local governments and tribal nations </w:t>
      </w:r>
      <w:r w:rsidRPr="00F041AD">
        <w:rPr>
          <w:color w:val="333333" w:themeColor="background1"/>
          <w:highlight w:val="white"/>
        </w:rPr>
        <w:t xml:space="preserve">can take clean energy development into account in their zoning requirements, ordinances, and permitting processes. Further, </w:t>
      </w:r>
      <w:r w:rsidRPr="00F041AD">
        <w:rPr>
          <w:color w:val="333333" w:themeColor="background1"/>
        </w:rPr>
        <w:t xml:space="preserve">local governments and tribal nations </w:t>
      </w:r>
      <w:r w:rsidRPr="00F041AD">
        <w:rPr>
          <w:color w:val="333333" w:themeColor="background1"/>
          <w:highlight w:val="white"/>
        </w:rPr>
        <w:t xml:space="preserve">can lead by example, adopting voluntary best practices and reducing the energy impact of their own operations. Finally, </w:t>
      </w:r>
      <w:r w:rsidRPr="00F041AD">
        <w:rPr>
          <w:color w:val="333333" w:themeColor="background1"/>
        </w:rPr>
        <w:t xml:space="preserve">local governments and tribal nations </w:t>
      </w:r>
      <w:r w:rsidRPr="00F041AD">
        <w:rPr>
          <w:color w:val="333333" w:themeColor="background1"/>
          <w:highlight w:val="white"/>
        </w:rPr>
        <w:t xml:space="preserve">are well positioned to communicate existing opportunities to community members and local businesses. </w:t>
      </w:r>
      <w:r w:rsidRPr="00F041AD">
        <w:rPr>
          <w:color w:val="333333" w:themeColor="background1"/>
        </w:rPr>
        <w:t xml:space="preserve">Independent of state or federal policy developments, local governments and tribal nations can capitalize on many opportunities in the near-term to advance a clean energy future. </w:t>
      </w:r>
    </w:p>
    <w:p w14:paraId="00BFFBD6" w14:textId="77777777" w:rsidR="00B65A50" w:rsidRPr="00F041AD" w:rsidRDefault="00B65A50" w:rsidP="00FC7DC8">
      <w:pPr>
        <w:pStyle w:val="5BodyText"/>
        <w:rPr>
          <w:color w:val="333333" w:themeColor="background1"/>
        </w:rPr>
      </w:pPr>
      <w:r w:rsidRPr="00F041AD">
        <w:rPr>
          <w:color w:val="333333" w:themeColor="background1"/>
        </w:rPr>
        <w:t>Specific actions for strategy implementation:</w:t>
      </w:r>
    </w:p>
    <w:p w14:paraId="602CE3E2" w14:textId="77777777" w:rsidR="00B65A50" w:rsidRPr="00F041AD" w:rsidRDefault="00B65A50" w:rsidP="00FC7DC8">
      <w:pPr>
        <w:pStyle w:val="5BodyText"/>
        <w:rPr>
          <w:b/>
          <w:color w:val="333333" w:themeColor="background1"/>
        </w:rPr>
      </w:pPr>
    </w:p>
    <w:p w14:paraId="352F3636" w14:textId="77777777" w:rsidR="00B65A50" w:rsidRPr="00F041AD" w:rsidRDefault="00B65A50" w:rsidP="00FC7DC8">
      <w:pPr>
        <w:pStyle w:val="5BodyText"/>
        <w:numPr>
          <w:ilvl w:val="0"/>
          <w:numId w:val="131"/>
        </w:numPr>
        <w:rPr>
          <w:color w:val="333333" w:themeColor="background1"/>
        </w:rPr>
      </w:pPr>
      <w:r w:rsidRPr="00F041AD">
        <w:rPr>
          <w:b/>
          <w:color w:val="333333" w:themeColor="background1"/>
        </w:rPr>
        <w:t xml:space="preserve">Adopt energy-related </w:t>
      </w:r>
      <w:proofErr w:type="spellStart"/>
      <w:r w:rsidRPr="00F041AD">
        <w:rPr>
          <w:b/>
          <w:color w:val="333333" w:themeColor="background1"/>
        </w:rPr>
        <w:t>GreenStep</w:t>
      </w:r>
      <w:proofErr w:type="spellEnd"/>
      <w:r w:rsidRPr="00F041AD">
        <w:rPr>
          <w:b/>
          <w:color w:val="333333" w:themeColor="background1"/>
        </w:rPr>
        <w:t xml:space="preserve"> Cities best practices</w:t>
      </w:r>
      <w:r w:rsidRPr="00F041AD">
        <w:rPr>
          <w:color w:val="333333" w:themeColor="background1"/>
        </w:rPr>
        <w:t xml:space="preserve">. </w:t>
      </w:r>
      <w:proofErr w:type="spellStart"/>
      <w:r w:rsidRPr="00F041AD">
        <w:rPr>
          <w:color w:val="333333" w:themeColor="background1"/>
        </w:rPr>
        <w:t>GreenStep</w:t>
      </w:r>
      <w:proofErr w:type="spellEnd"/>
      <w:r w:rsidRPr="00F041AD">
        <w:rPr>
          <w:color w:val="333333" w:themeColor="background1"/>
        </w:rPr>
        <w:t xml:space="preserve"> Cities offers a variety of best practice actions related to improving energy efficiency, increasing renewable energy use, and decreasing greenhouse gas emissions. Minnesota cities and tribes can identify best practices through the program’s website, and take action based on the needs and goals of their community.</w:t>
      </w:r>
    </w:p>
    <w:p w14:paraId="6F3F8424" w14:textId="77777777" w:rsidR="00B65A50" w:rsidRPr="00F041AD" w:rsidRDefault="00B65A50" w:rsidP="00FC7DC8">
      <w:pPr>
        <w:pStyle w:val="5BodyText"/>
        <w:rPr>
          <w:color w:val="333333" w:themeColor="background1"/>
        </w:rPr>
      </w:pPr>
    </w:p>
    <w:p w14:paraId="72BD40B4" w14:textId="77777777" w:rsidR="00B65A50" w:rsidRPr="00F041AD" w:rsidRDefault="00B65A50" w:rsidP="00FC7DC8">
      <w:pPr>
        <w:pStyle w:val="5BodyText"/>
        <w:ind w:left="720"/>
        <w:rPr>
          <w:color w:val="333333" w:themeColor="background1"/>
        </w:rPr>
      </w:pPr>
      <w:r w:rsidRPr="00F041AD">
        <w:rPr>
          <w:b/>
          <w:color w:val="333333" w:themeColor="background1"/>
        </w:rPr>
        <w:t>Champions/Key Participants:</w:t>
      </w:r>
      <w:r w:rsidRPr="00F041AD">
        <w:rPr>
          <w:color w:val="333333" w:themeColor="background1"/>
        </w:rPr>
        <w:t xml:space="preserve"> </w:t>
      </w:r>
      <w:r w:rsidRPr="00F041AD">
        <w:rPr>
          <w:color w:val="333333" w:themeColor="background1"/>
        </w:rPr>
        <w:br/>
        <w:t xml:space="preserve">- Minnesota Pollution Control Agency via </w:t>
      </w:r>
      <w:proofErr w:type="spellStart"/>
      <w:r w:rsidRPr="00F041AD">
        <w:rPr>
          <w:color w:val="333333" w:themeColor="background1"/>
        </w:rPr>
        <w:t>GreenStep</w:t>
      </w:r>
      <w:proofErr w:type="spellEnd"/>
      <w:r w:rsidRPr="00F041AD">
        <w:rPr>
          <w:color w:val="333333" w:themeColor="background1"/>
        </w:rPr>
        <w:t xml:space="preserve"> Cities Partnership</w:t>
      </w:r>
    </w:p>
    <w:p w14:paraId="61681B52" w14:textId="77777777" w:rsidR="00B65A50" w:rsidRPr="00F041AD" w:rsidRDefault="00B65A50" w:rsidP="00FC7DC8">
      <w:pPr>
        <w:pStyle w:val="5BodyText"/>
        <w:rPr>
          <w:color w:val="333333" w:themeColor="background1"/>
        </w:rPr>
      </w:pPr>
    </w:p>
    <w:p w14:paraId="71ED0236" w14:textId="77777777" w:rsidR="00B65A50" w:rsidRPr="00F041AD" w:rsidRDefault="00B65A50" w:rsidP="00FC7DC8">
      <w:pPr>
        <w:pStyle w:val="5BodyText"/>
        <w:numPr>
          <w:ilvl w:val="0"/>
          <w:numId w:val="131"/>
        </w:numPr>
        <w:rPr>
          <w:color w:val="333333" w:themeColor="background1"/>
        </w:rPr>
      </w:pPr>
      <w:r w:rsidRPr="00F041AD">
        <w:rPr>
          <w:b/>
          <w:color w:val="333333" w:themeColor="background1"/>
        </w:rPr>
        <w:t>Explicitly address energy development in zoning ordinances, building codes, and permitting requirements.</w:t>
      </w:r>
      <w:r w:rsidRPr="00F041AD" w:rsidDel="00BF1749">
        <w:rPr>
          <w:b/>
          <w:color w:val="333333" w:themeColor="background1"/>
        </w:rPr>
        <w:t xml:space="preserve"> </w:t>
      </w:r>
      <w:r w:rsidRPr="00F041AD">
        <w:rPr>
          <w:color w:val="333333" w:themeColor="background1"/>
        </w:rPr>
        <w:t>Local entities can prioritize clean energy objectives within their regulatory frameworks by eliminating regulatory barriers to clean energy development, strengthening energy efficiency requirements within their building codes, and incentivizing clean energy in a way that balances and protects competing development or resources. Examples of incentives include the following:</w:t>
      </w:r>
    </w:p>
    <w:p w14:paraId="2C7AC143" w14:textId="77777777" w:rsidR="00B65A50" w:rsidRPr="00F041AD" w:rsidRDefault="00B65A50" w:rsidP="00FC7DC8">
      <w:pPr>
        <w:pStyle w:val="5BodyText"/>
        <w:rPr>
          <w:color w:val="333333" w:themeColor="background1"/>
        </w:rPr>
      </w:pPr>
    </w:p>
    <w:p w14:paraId="7C54F3B0" w14:textId="77777777" w:rsidR="00B65A50" w:rsidRPr="00F041AD" w:rsidRDefault="00B65A50" w:rsidP="00FC7DC8">
      <w:pPr>
        <w:pStyle w:val="5BodyText"/>
        <w:numPr>
          <w:ilvl w:val="1"/>
          <w:numId w:val="137"/>
        </w:numPr>
        <w:rPr>
          <w:color w:val="333333" w:themeColor="background1"/>
        </w:rPr>
      </w:pPr>
      <w:r w:rsidRPr="00F041AD">
        <w:rPr>
          <w:b/>
          <w:color w:val="333333" w:themeColor="background1"/>
        </w:rPr>
        <w:t>Property Assessed Clean Energy (PACE) financing</w:t>
      </w:r>
      <w:r w:rsidRPr="00F041AD">
        <w:rPr>
          <w:color w:val="333333" w:themeColor="background1"/>
        </w:rPr>
        <w:t xml:space="preserve"> for renewable energy and energy efficiency projects.</w:t>
      </w:r>
    </w:p>
    <w:p w14:paraId="6215AAA9" w14:textId="77777777" w:rsidR="00B65A50" w:rsidRPr="00F041AD" w:rsidRDefault="00B65A50" w:rsidP="00FC7DC8">
      <w:pPr>
        <w:pStyle w:val="5BodyText"/>
        <w:numPr>
          <w:ilvl w:val="1"/>
          <w:numId w:val="137"/>
        </w:numPr>
        <w:rPr>
          <w:color w:val="333333" w:themeColor="background1"/>
        </w:rPr>
      </w:pPr>
      <w:r w:rsidRPr="00F041AD">
        <w:rPr>
          <w:color w:val="333333" w:themeColor="background1"/>
        </w:rPr>
        <w:t xml:space="preserve">Additional </w:t>
      </w:r>
      <w:r w:rsidRPr="00F041AD">
        <w:rPr>
          <w:b/>
          <w:color w:val="333333" w:themeColor="background1"/>
        </w:rPr>
        <w:t>density and height allowances</w:t>
      </w:r>
      <w:r w:rsidRPr="00F041AD">
        <w:rPr>
          <w:color w:val="333333" w:themeColor="background1"/>
        </w:rPr>
        <w:t xml:space="preserve"> in exchange for clean energy enhancements.</w:t>
      </w:r>
    </w:p>
    <w:p w14:paraId="7440FBD2" w14:textId="77777777" w:rsidR="00B65A50" w:rsidRPr="00F041AD" w:rsidRDefault="00B65A50" w:rsidP="00FC7DC8">
      <w:pPr>
        <w:pStyle w:val="5BodyText"/>
        <w:numPr>
          <w:ilvl w:val="1"/>
          <w:numId w:val="137"/>
        </w:numPr>
        <w:rPr>
          <w:color w:val="333333" w:themeColor="background1"/>
        </w:rPr>
      </w:pPr>
      <w:r w:rsidRPr="00F041AD">
        <w:rPr>
          <w:color w:val="333333" w:themeColor="background1"/>
        </w:rPr>
        <w:t xml:space="preserve">Increased unit counts </w:t>
      </w:r>
      <w:r w:rsidRPr="00F041AD">
        <w:rPr>
          <w:b/>
          <w:color w:val="333333" w:themeColor="background1"/>
        </w:rPr>
        <w:t>without additional parking requirements</w:t>
      </w:r>
      <w:r w:rsidRPr="00F041AD">
        <w:rPr>
          <w:color w:val="333333" w:themeColor="background1"/>
        </w:rPr>
        <w:t xml:space="preserve"> in exchange for clean energy enhancements.</w:t>
      </w:r>
    </w:p>
    <w:p w14:paraId="7C098CBD" w14:textId="77777777" w:rsidR="00B65A50" w:rsidRPr="00F041AD" w:rsidRDefault="00B65A50" w:rsidP="00FC7DC8">
      <w:pPr>
        <w:pStyle w:val="5BodyText"/>
        <w:numPr>
          <w:ilvl w:val="1"/>
          <w:numId w:val="137"/>
        </w:numPr>
        <w:rPr>
          <w:color w:val="333333" w:themeColor="background1"/>
        </w:rPr>
      </w:pPr>
      <w:r w:rsidRPr="00F041AD">
        <w:rPr>
          <w:b/>
          <w:color w:val="333333" w:themeColor="background1"/>
        </w:rPr>
        <w:t>Accelerated permitting</w:t>
      </w:r>
      <w:r w:rsidRPr="00F041AD">
        <w:rPr>
          <w:color w:val="333333" w:themeColor="background1"/>
        </w:rPr>
        <w:t xml:space="preserve"> for clean energy projects.</w:t>
      </w:r>
    </w:p>
    <w:p w14:paraId="15692CC4" w14:textId="77777777" w:rsidR="00B65A50" w:rsidRPr="00F041AD" w:rsidRDefault="00B65A50" w:rsidP="00FC7DC8">
      <w:pPr>
        <w:pStyle w:val="5BodyText"/>
        <w:ind w:left="720"/>
        <w:rPr>
          <w:color w:val="333333" w:themeColor="background1"/>
        </w:rPr>
      </w:pPr>
    </w:p>
    <w:p w14:paraId="7EE729A6" w14:textId="77777777" w:rsidR="00B65A50" w:rsidRPr="00F041AD" w:rsidRDefault="00B65A50" w:rsidP="00FC7DC8">
      <w:pPr>
        <w:pStyle w:val="5BodyText"/>
        <w:ind w:left="720"/>
        <w:rPr>
          <w:color w:val="333333" w:themeColor="background1"/>
        </w:rPr>
      </w:pPr>
      <w:r w:rsidRPr="00F041AD">
        <w:rPr>
          <w:color w:val="333333" w:themeColor="background1"/>
        </w:rPr>
        <w:t>These actions complement the Efficient Buildings and Integrated Energy Systems strategy of adopting stretch building codes for new construction and major renovations. After stretch codes are incorporated into the Minnesota’s building code, local entities should be encouraged to adopt them for buildings within their jurisdiction, and associated training should be provided. Even without statewide code adoption as an appendix, local governments can reduce the energy used by newly constructed and renovated buildings by requiring projects that receive financial support from the city to meet aggressive energy targets.</w:t>
      </w:r>
    </w:p>
    <w:p w14:paraId="0535CC54" w14:textId="77777777" w:rsidR="00B65A50" w:rsidRPr="00F041AD" w:rsidRDefault="00B65A50" w:rsidP="00FC7DC8">
      <w:pPr>
        <w:pStyle w:val="5BodyText"/>
        <w:rPr>
          <w:color w:val="333333" w:themeColor="background1"/>
        </w:rPr>
      </w:pPr>
    </w:p>
    <w:p w14:paraId="7BEC7247" w14:textId="77777777" w:rsidR="00B65A50" w:rsidRPr="00F041AD" w:rsidRDefault="00B65A50" w:rsidP="00FC7DC8">
      <w:pPr>
        <w:pStyle w:val="5BodyText"/>
        <w:ind w:firstLine="720"/>
        <w:rPr>
          <w:b/>
          <w:color w:val="333333" w:themeColor="background1"/>
        </w:rPr>
      </w:pPr>
      <w:r w:rsidRPr="00F041AD">
        <w:rPr>
          <w:b/>
          <w:color w:val="333333" w:themeColor="background1"/>
        </w:rPr>
        <w:t xml:space="preserve">Champions/Key Participants: </w:t>
      </w:r>
    </w:p>
    <w:p w14:paraId="38E8FDBD" w14:textId="77777777" w:rsidR="00B65A50" w:rsidRPr="00F041AD" w:rsidRDefault="00B65A50" w:rsidP="00FC7DC8">
      <w:pPr>
        <w:pStyle w:val="5BodyText"/>
        <w:ind w:firstLine="720"/>
        <w:rPr>
          <w:color w:val="333333" w:themeColor="background1"/>
        </w:rPr>
      </w:pPr>
      <w:r w:rsidRPr="00F041AD">
        <w:rPr>
          <w:color w:val="333333" w:themeColor="background1"/>
        </w:rPr>
        <w:t>- Great Plains Institute</w:t>
      </w:r>
    </w:p>
    <w:p w14:paraId="5D5AFD85" w14:textId="77777777" w:rsidR="00B65A50" w:rsidRPr="00F041AD" w:rsidRDefault="00B65A50" w:rsidP="00FC7DC8">
      <w:pPr>
        <w:pStyle w:val="5BodyText"/>
        <w:ind w:firstLine="720"/>
        <w:rPr>
          <w:color w:val="333333" w:themeColor="background1"/>
        </w:rPr>
      </w:pPr>
      <w:r w:rsidRPr="00F041AD">
        <w:rPr>
          <w:color w:val="333333" w:themeColor="background1"/>
        </w:rPr>
        <w:t>- Minnesota Department of Commerce</w:t>
      </w:r>
    </w:p>
    <w:p w14:paraId="06BCCA8F" w14:textId="77777777" w:rsidR="00B65A50" w:rsidRPr="00F041AD" w:rsidRDefault="00B65A50" w:rsidP="00FC7DC8">
      <w:pPr>
        <w:pStyle w:val="5BodyText"/>
        <w:ind w:firstLine="720"/>
        <w:rPr>
          <w:color w:val="333333" w:themeColor="background1"/>
        </w:rPr>
      </w:pPr>
      <w:r w:rsidRPr="00F041AD">
        <w:rPr>
          <w:color w:val="333333" w:themeColor="background1"/>
        </w:rPr>
        <w:t>- Minnesota Pollution Control Agency</w:t>
      </w:r>
    </w:p>
    <w:p w14:paraId="13B3915D" w14:textId="77777777" w:rsidR="00B65A50" w:rsidRPr="00F041AD" w:rsidRDefault="00B65A50" w:rsidP="00FC7DC8">
      <w:pPr>
        <w:pStyle w:val="5BodyText"/>
        <w:rPr>
          <w:color w:val="333333" w:themeColor="background1"/>
        </w:rPr>
      </w:pPr>
    </w:p>
    <w:p w14:paraId="6ADC6636" w14:textId="77777777" w:rsidR="00B65A50" w:rsidRPr="00F041AD" w:rsidRDefault="00B65A50" w:rsidP="00FC7DC8">
      <w:pPr>
        <w:pStyle w:val="5BodyText"/>
        <w:numPr>
          <w:ilvl w:val="0"/>
          <w:numId w:val="131"/>
        </w:numPr>
        <w:rPr>
          <w:color w:val="333333" w:themeColor="background1"/>
        </w:rPr>
      </w:pPr>
      <w:r w:rsidRPr="00F041AD">
        <w:rPr>
          <w:b/>
          <w:color w:val="333333" w:themeColor="background1"/>
        </w:rPr>
        <w:lastRenderedPageBreak/>
        <w:t>Create a transparent and predictable permitting process for distributed generation.</w:t>
      </w:r>
      <w:r w:rsidRPr="00F041AD">
        <w:rPr>
          <w:color w:val="333333" w:themeColor="background1"/>
        </w:rPr>
        <w:t xml:space="preserve"> Communities can be poised to advance distributed generation by having clear permitting, inspection, and interconnection standards. Designed appropriately, these standards can accelerate projects and reduce unnecessary costs for consumers. </w:t>
      </w:r>
      <w:r w:rsidRPr="00F041AD">
        <w:rPr>
          <w:color w:val="333333" w:themeColor="background1"/>
          <w:highlight w:val="white"/>
        </w:rPr>
        <w:t>A study by Lawrence Berkeley National Lab suggests that streamlining the permitting process could reduce development time by a month and decrease the price of a residential solar system by $1,000 or more.</w:t>
      </w:r>
      <w:r w:rsidRPr="00F041AD">
        <w:rPr>
          <w:rStyle w:val="EndnoteReference"/>
          <w:color w:val="333333" w:themeColor="background1"/>
          <w:highlight w:val="white"/>
        </w:rPr>
        <w:endnoteReference w:id="310"/>
      </w:r>
    </w:p>
    <w:p w14:paraId="244A261F" w14:textId="77777777" w:rsidR="00B65A50" w:rsidRPr="00F041AD" w:rsidRDefault="00B65A50" w:rsidP="00FC7DC8">
      <w:pPr>
        <w:pStyle w:val="5BodyText"/>
        <w:rPr>
          <w:color w:val="333333" w:themeColor="background1"/>
        </w:rPr>
      </w:pPr>
    </w:p>
    <w:p w14:paraId="4BA53A85" w14:textId="77777777" w:rsidR="00B65A50" w:rsidRPr="00F041AD" w:rsidRDefault="00B65A50" w:rsidP="00FC7DC8">
      <w:pPr>
        <w:pStyle w:val="5BodyText"/>
        <w:ind w:left="720"/>
        <w:rPr>
          <w:color w:val="333333" w:themeColor="background1"/>
        </w:rPr>
      </w:pPr>
      <w:r w:rsidRPr="00F041AD">
        <w:rPr>
          <w:b/>
          <w:color w:val="333333" w:themeColor="background1"/>
        </w:rPr>
        <w:t xml:space="preserve">Champions/Key Participants: </w:t>
      </w:r>
    </w:p>
    <w:p w14:paraId="1CC2D031" w14:textId="77777777" w:rsidR="00B65A50" w:rsidRPr="00F041AD" w:rsidRDefault="00B65A50" w:rsidP="00FC7DC8">
      <w:pPr>
        <w:pStyle w:val="5BodyText"/>
        <w:ind w:firstLine="720"/>
        <w:rPr>
          <w:color w:val="333333" w:themeColor="background1"/>
        </w:rPr>
      </w:pPr>
      <w:r w:rsidRPr="00F041AD">
        <w:rPr>
          <w:color w:val="333333" w:themeColor="background1"/>
        </w:rPr>
        <w:t>- Great Plains Institute</w:t>
      </w:r>
    </w:p>
    <w:p w14:paraId="78B9B366" w14:textId="77777777" w:rsidR="00B65A50" w:rsidRPr="00F041AD" w:rsidRDefault="00B65A50" w:rsidP="00FC7DC8">
      <w:pPr>
        <w:pStyle w:val="5BodyText"/>
        <w:ind w:left="720"/>
        <w:rPr>
          <w:color w:val="333333" w:themeColor="background1"/>
        </w:rPr>
      </w:pPr>
      <w:r w:rsidRPr="00F041AD">
        <w:rPr>
          <w:color w:val="333333" w:themeColor="background1"/>
        </w:rPr>
        <w:t>- Metropolitan Council</w:t>
      </w:r>
    </w:p>
    <w:p w14:paraId="07245AD3" w14:textId="77777777" w:rsidR="00B65A50" w:rsidRPr="00F041AD" w:rsidRDefault="00B65A50" w:rsidP="00FC7DC8">
      <w:pPr>
        <w:pStyle w:val="5BodyText"/>
        <w:ind w:left="720"/>
        <w:rPr>
          <w:color w:val="333333" w:themeColor="background1"/>
        </w:rPr>
      </w:pPr>
      <w:r w:rsidRPr="00F041AD">
        <w:rPr>
          <w:color w:val="333333" w:themeColor="background1"/>
        </w:rPr>
        <w:t>- Minnesota Department of Labor and Industry</w:t>
      </w:r>
    </w:p>
    <w:p w14:paraId="18BD136B" w14:textId="77777777" w:rsidR="00B65A50" w:rsidRPr="00F041AD" w:rsidRDefault="00B65A50" w:rsidP="00FC7DC8">
      <w:pPr>
        <w:pStyle w:val="5BodyText"/>
        <w:rPr>
          <w:color w:val="333333" w:themeColor="background1"/>
        </w:rPr>
      </w:pPr>
    </w:p>
    <w:p w14:paraId="289E9D48" w14:textId="77777777" w:rsidR="00B65A50" w:rsidRPr="00F041AD" w:rsidRDefault="00B65A50" w:rsidP="00FC7DC8">
      <w:pPr>
        <w:pStyle w:val="5BodyText"/>
        <w:numPr>
          <w:ilvl w:val="0"/>
          <w:numId w:val="131"/>
        </w:numPr>
        <w:rPr>
          <w:color w:val="333333" w:themeColor="background1"/>
        </w:rPr>
      </w:pPr>
      <w:r w:rsidRPr="00F041AD">
        <w:rPr>
          <w:b/>
          <w:color w:val="333333" w:themeColor="background1"/>
        </w:rPr>
        <w:t>Publicize existing renewable energy and energy efficiency financing options and related programs to market segments that have not been sufficiently involved</w:t>
      </w:r>
      <w:r w:rsidRPr="00F041AD">
        <w:rPr>
          <w:color w:val="333333" w:themeColor="background1"/>
        </w:rPr>
        <w:t>. Local governments can play an important role in marketing state and utility programs related to energy efficiency and renewable energy. In particular, marketing</w:t>
      </w:r>
      <w:r w:rsidRPr="00F041AD">
        <w:rPr>
          <w:b/>
          <w:color w:val="333333" w:themeColor="background1"/>
        </w:rPr>
        <w:t xml:space="preserve"> </w:t>
      </w:r>
      <w:r w:rsidRPr="00F041AD">
        <w:rPr>
          <w:color w:val="333333" w:themeColor="background1"/>
        </w:rPr>
        <w:t>should target mid-size businesses, which are relatively large users at the local level, but have not historically been engaged in these programs to the same extent as larger businesses.</w:t>
      </w:r>
    </w:p>
    <w:p w14:paraId="6804897A" w14:textId="77777777" w:rsidR="00B65A50" w:rsidRPr="00F041AD" w:rsidRDefault="00B65A50" w:rsidP="00FC7DC8">
      <w:pPr>
        <w:pStyle w:val="5BodyText"/>
        <w:ind w:firstLine="720"/>
        <w:rPr>
          <w:color w:val="333333" w:themeColor="background1"/>
        </w:rPr>
      </w:pPr>
    </w:p>
    <w:p w14:paraId="111B019D" w14:textId="77777777" w:rsidR="00B65A50" w:rsidRPr="00F041AD" w:rsidRDefault="00B65A50" w:rsidP="00FC7DC8">
      <w:pPr>
        <w:pStyle w:val="5BodyText"/>
        <w:ind w:left="720"/>
        <w:rPr>
          <w:color w:val="333333" w:themeColor="background1"/>
        </w:rPr>
      </w:pPr>
      <w:r w:rsidRPr="00F041AD">
        <w:rPr>
          <w:b/>
          <w:color w:val="333333" w:themeColor="background1"/>
        </w:rPr>
        <w:t>Champions/Key Participants</w:t>
      </w:r>
      <w:r w:rsidRPr="00F041AD">
        <w:rPr>
          <w:color w:val="333333" w:themeColor="background1"/>
        </w:rPr>
        <w:t xml:space="preserve">: </w:t>
      </w:r>
    </w:p>
    <w:p w14:paraId="541993EA" w14:textId="77777777" w:rsidR="00B65A50" w:rsidRPr="00F041AD" w:rsidRDefault="00B65A50" w:rsidP="00FC7DC8">
      <w:pPr>
        <w:pStyle w:val="5BodyText"/>
        <w:ind w:left="720"/>
        <w:rPr>
          <w:color w:val="333333" w:themeColor="background1"/>
        </w:rPr>
      </w:pPr>
      <w:r w:rsidRPr="00F041AD">
        <w:rPr>
          <w:color w:val="333333" w:themeColor="background1"/>
        </w:rPr>
        <w:t>- Clean Energy Resource Teams</w:t>
      </w:r>
    </w:p>
    <w:p w14:paraId="744C5477" w14:textId="77777777" w:rsidR="00B65A50" w:rsidRPr="00F041AD" w:rsidRDefault="00B65A50" w:rsidP="00FC7DC8">
      <w:pPr>
        <w:pStyle w:val="5BodyText"/>
        <w:ind w:left="720"/>
        <w:rPr>
          <w:color w:val="333333" w:themeColor="background1"/>
        </w:rPr>
      </w:pPr>
      <w:r w:rsidRPr="00F041AD">
        <w:rPr>
          <w:color w:val="333333" w:themeColor="background1"/>
        </w:rPr>
        <w:t>- Minnesota Department of Commerce</w:t>
      </w:r>
    </w:p>
    <w:p w14:paraId="2F515EFB" w14:textId="77777777" w:rsidR="00B65A50" w:rsidRPr="00F041AD" w:rsidRDefault="00B65A50" w:rsidP="00FC7DC8">
      <w:pPr>
        <w:pStyle w:val="5BodyText"/>
        <w:rPr>
          <w:rStyle w:val="CommentReference"/>
          <w:b/>
          <w:color w:val="333333" w:themeColor="background1"/>
        </w:rPr>
      </w:pPr>
    </w:p>
    <w:p w14:paraId="5FB57F80" w14:textId="5C802978" w:rsidR="00B65A50" w:rsidRPr="00F041AD" w:rsidRDefault="00B65A50" w:rsidP="00FC7DC8">
      <w:pPr>
        <w:pStyle w:val="5BodyText"/>
        <w:numPr>
          <w:ilvl w:val="0"/>
          <w:numId w:val="131"/>
        </w:numPr>
        <w:rPr>
          <w:b/>
          <w:color w:val="333333" w:themeColor="background1"/>
        </w:rPr>
      </w:pPr>
      <w:r w:rsidRPr="00F041AD">
        <w:rPr>
          <w:rStyle w:val="CommentReference"/>
          <w:b/>
          <w:color w:val="333333" w:themeColor="background1"/>
        </w:rPr>
        <w:t>E</w:t>
      </w:r>
      <w:r w:rsidRPr="00F041AD">
        <w:rPr>
          <w:b/>
          <w:color w:val="333333" w:themeColor="background1"/>
        </w:rPr>
        <w:t>ngage communities in a statewide city energy challenge</w:t>
      </w:r>
      <w:r w:rsidRPr="00F041AD">
        <w:rPr>
          <w:color w:val="333333" w:themeColor="background1"/>
        </w:rPr>
        <w:t>.</w:t>
      </w:r>
      <w:r w:rsidRPr="00F041AD">
        <w:rPr>
          <w:color w:val="333333" w:themeColor="background1"/>
        </w:rPr>
        <w:br/>
        <w:t xml:space="preserve">A statewide city energy challenge would serve as a catalyst to increase adoption of proven energy efficiency strategies and spur innovative new approaches. In addition to expanding use of existing energy efficiency programs and promoting behavioral energy efficiency strategies for residents and businesses, this action would raise public consciousness and support for informed energy planning at the city level. </w:t>
      </w:r>
    </w:p>
    <w:p w14:paraId="50E933CE" w14:textId="77777777" w:rsidR="00B65A50" w:rsidRPr="00F041AD" w:rsidRDefault="00B65A50" w:rsidP="00FC7DC8">
      <w:pPr>
        <w:pStyle w:val="5BodyText"/>
        <w:rPr>
          <w:color w:val="333333" w:themeColor="background1"/>
        </w:rPr>
      </w:pPr>
    </w:p>
    <w:p w14:paraId="1D754BAA" w14:textId="77777777" w:rsidR="00B65A50" w:rsidRPr="00F041AD" w:rsidRDefault="00B65A50" w:rsidP="00FC7DC8">
      <w:pPr>
        <w:pStyle w:val="5BodyText"/>
        <w:ind w:left="720"/>
        <w:rPr>
          <w:b/>
          <w:color w:val="333333" w:themeColor="background1"/>
        </w:rPr>
      </w:pPr>
      <w:r w:rsidRPr="00F041AD">
        <w:rPr>
          <w:b/>
          <w:color w:val="333333" w:themeColor="background1"/>
        </w:rPr>
        <w:t>Champions/Key Participants:</w:t>
      </w:r>
    </w:p>
    <w:p w14:paraId="37E48CD4" w14:textId="77777777" w:rsidR="00B65A50" w:rsidRPr="00F041AD" w:rsidRDefault="00B65A50" w:rsidP="00FC7DC8">
      <w:pPr>
        <w:pStyle w:val="5BodyText"/>
        <w:ind w:left="720"/>
        <w:rPr>
          <w:color w:val="333333" w:themeColor="background1"/>
        </w:rPr>
      </w:pPr>
      <w:r w:rsidRPr="00F041AD">
        <w:rPr>
          <w:color w:val="333333" w:themeColor="background1"/>
        </w:rPr>
        <w:t>- Minnesota Department of Commerce</w:t>
      </w:r>
    </w:p>
    <w:p w14:paraId="55FB7336" w14:textId="77777777" w:rsidR="00B65A50" w:rsidRPr="00F041AD" w:rsidRDefault="00B65A50" w:rsidP="00FC7DC8">
      <w:pPr>
        <w:pStyle w:val="5BodyText"/>
        <w:ind w:left="720"/>
        <w:rPr>
          <w:color w:val="333333" w:themeColor="background1"/>
        </w:rPr>
      </w:pPr>
      <w:r w:rsidRPr="00F041AD">
        <w:rPr>
          <w:color w:val="333333" w:themeColor="background1"/>
        </w:rPr>
        <w:t>-</w:t>
      </w:r>
      <w:r w:rsidRPr="00F041AD">
        <w:rPr>
          <w:b/>
          <w:color w:val="333333" w:themeColor="background1"/>
        </w:rPr>
        <w:t xml:space="preserve"> </w:t>
      </w:r>
      <w:r w:rsidRPr="00F041AD">
        <w:rPr>
          <w:color w:val="333333" w:themeColor="background1"/>
        </w:rPr>
        <w:t>Great Plains Institute</w:t>
      </w:r>
    </w:p>
    <w:p w14:paraId="2A7FC26C" w14:textId="77777777" w:rsidR="00B65A50" w:rsidRPr="00F041AD" w:rsidRDefault="00B65A50" w:rsidP="00FC7DC8">
      <w:pPr>
        <w:pStyle w:val="5BodyText"/>
        <w:ind w:left="720"/>
        <w:rPr>
          <w:color w:val="333333" w:themeColor="background1"/>
        </w:rPr>
      </w:pPr>
      <w:r w:rsidRPr="00F041AD">
        <w:rPr>
          <w:color w:val="333333" w:themeColor="background1"/>
        </w:rPr>
        <w:t>- Clean Energy Resource Teams (CERTs)</w:t>
      </w:r>
    </w:p>
    <w:p w14:paraId="025280FB" w14:textId="77777777" w:rsidR="00B65A50" w:rsidRPr="00F041AD" w:rsidRDefault="00B65A50" w:rsidP="00FC7DC8">
      <w:pPr>
        <w:pStyle w:val="5BodyText"/>
        <w:ind w:left="720"/>
        <w:rPr>
          <w:b/>
          <w:color w:val="333333" w:themeColor="background1"/>
        </w:rPr>
      </w:pPr>
      <w:r w:rsidRPr="00F041AD">
        <w:rPr>
          <w:color w:val="333333" w:themeColor="background1"/>
        </w:rPr>
        <w:t>- US Green Building Council-Minnesota (USGBC-MN</w:t>
      </w:r>
      <w:r w:rsidRPr="00F041AD">
        <w:rPr>
          <w:b/>
          <w:color w:val="333333" w:themeColor="background1"/>
        </w:rPr>
        <w:t>)</w:t>
      </w:r>
    </w:p>
    <w:p w14:paraId="322AC532" w14:textId="3BC3BAF5" w:rsidR="00B65A50" w:rsidRPr="00F041AD" w:rsidRDefault="00B65A50" w:rsidP="00FC7DC8">
      <w:pPr>
        <w:pStyle w:val="5BodyText"/>
        <w:ind w:left="720"/>
        <w:rPr>
          <w:color w:val="333333" w:themeColor="background1"/>
        </w:rPr>
      </w:pPr>
      <w:r w:rsidRPr="00F041AD">
        <w:rPr>
          <w:color w:val="333333" w:themeColor="background1"/>
        </w:rPr>
        <w:t xml:space="preserve">- CEE, Xcel Partners in Energy, </w:t>
      </w:r>
      <w:proofErr w:type="spellStart"/>
      <w:r w:rsidRPr="00F041AD">
        <w:rPr>
          <w:color w:val="333333" w:themeColor="background1"/>
        </w:rPr>
        <w:t>Ecolibrium</w:t>
      </w:r>
      <w:proofErr w:type="spellEnd"/>
      <w:r w:rsidRPr="00F041AD">
        <w:rPr>
          <w:color w:val="333333" w:themeColor="background1"/>
        </w:rPr>
        <w:t xml:space="preserve"> 3 </w:t>
      </w:r>
    </w:p>
    <w:p w14:paraId="2DDBE8DB" w14:textId="77777777" w:rsidR="00B65A50" w:rsidRPr="00F041AD" w:rsidRDefault="00B65A50" w:rsidP="00FC7DC8">
      <w:pPr>
        <w:pStyle w:val="5BodyText"/>
        <w:rPr>
          <w:color w:val="333333" w:themeColor="background1"/>
        </w:rPr>
      </w:pPr>
    </w:p>
    <w:p w14:paraId="6880F44B" w14:textId="77777777" w:rsidR="00B65A50" w:rsidRPr="00F041AD" w:rsidRDefault="00B65A50" w:rsidP="00FC7DC8">
      <w:pPr>
        <w:pStyle w:val="5BodyText"/>
        <w:rPr>
          <w:b/>
          <w:color w:val="333333" w:themeColor="background1"/>
        </w:rPr>
      </w:pPr>
    </w:p>
    <w:p w14:paraId="3628E02D" w14:textId="77777777" w:rsidR="00B65A50" w:rsidRPr="00F041AD" w:rsidRDefault="00B65A50" w:rsidP="00FC7DC8">
      <w:pPr>
        <w:pStyle w:val="5BodyText"/>
        <w:rPr>
          <w:i/>
          <w:color w:val="333333" w:themeColor="background1"/>
        </w:rPr>
      </w:pPr>
      <w:r w:rsidRPr="00F041AD">
        <w:rPr>
          <w:b/>
          <w:i/>
          <w:color w:val="333333" w:themeColor="background1"/>
        </w:rPr>
        <w:t>Success factors</w:t>
      </w:r>
    </w:p>
    <w:p w14:paraId="592CECA6" w14:textId="76A2BE2F" w:rsidR="00B65A50" w:rsidRPr="00F041AD" w:rsidRDefault="00B65A50" w:rsidP="00FC7DC8">
      <w:pPr>
        <w:pStyle w:val="5BodyText"/>
        <w:numPr>
          <w:ilvl w:val="0"/>
          <w:numId w:val="132"/>
        </w:numPr>
        <w:rPr>
          <w:b/>
          <w:color w:val="333333" w:themeColor="background1"/>
        </w:rPr>
      </w:pPr>
      <w:r w:rsidRPr="00F041AD">
        <w:rPr>
          <w:b/>
          <w:color w:val="333333" w:themeColor="background1"/>
        </w:rPr>
        <w:t>Local government staff is equipped with sufficient resources to lead on action.</w:t>
      </w:r>
      <w:r w:rsidR="000A46E5">
        <w:rPr>
          <w:b/>
          <w:color w:val="333333" w:themeColor="background1"/>
        </w:rPr>
        <w:t xml:space="preserve">  </w:t>
      </w:r>
      <w:r w:rsidR="000A46E5" w:rsidRPr="00F041AD">
        <w:rPr>
          <w:color w:val="333333" w:themeColor="background1"/>
        </w:rPr>
        <w:t>To be most effective, this challenge should provide participating cities with access to education, technical resources, and grant funding opportunities.</w:t>
      </w:r>
      <w:r w:rsidRPr="00F041AD">
        <w:rPr>
          <w:b/>
          <w:color w:val="333333" w:themeColor="background1"/>
        </w:rPr>
        <w:t xml:space="preserve"> </w:t>
      </w:r>
      <w:r w:rsidRPr="00F041AD">
        <w:rPr>
          <w:color w:val="333333" w:themeColor="background1"/>
        </w:rPr>
        <w:t>State-level agencies, nonprofits, and other resources can share best practices.</w:t>
      </w:r>
      <w:r w:rsidR="000A46E5">
        <w:rPr>
          <w:color w:val="333333" w:themeColor="background1"/>
        </w:rPr>
        <w:t xml:space="preserve">  </w:t>
      </w:r>
    </w:p>
    <w:p w14:paraId="2B7F6F07" w14:textId="77777777" w:rsidR="00B65A50" w:rsidRPr="00F041AD" w:rsidRDefault="00B65A50" w:rsidP="00FC7DC8">
      <w:pPr>
        <w:pStyle w:val="5BodyText"/>
        <w:numPr>
          <w:ilvl w:val="0"/>
          <w:numId w:val="132"/>
        </w:numPr>
        <w:rPr>
          <w:color w:val="333333" w:themeColor="background1"/>
        </w:rPr>
      </w:pPr>
      <w:r w:rsidRPr="00F041AD">
        <w:rPr>
          <w:b/>
          <w:color w:val="333333" w:themeColor="background1"/>
        </w:rPr>
        <w:t xml:space="preserve">Establishment of local energy or environmental commissions </w:t>
      </w:r>
      <w:r w:rsidRPr="00F041AD">
        <w:rPr>
          <w:color w:val="333333" w:themeColor="background1"/>
        </w:rPr>
        <w:t>that advise city council and/or citizen groups to guide clean energy improvements.</w:t>
      </w:r>
    </w:p>
    <w:p w14:paraId="52D32766" w14:textId="77777777" w:rsidR="00B65A50" w:rsidRPr="00F041AD" w:rsidRDefault="00B65A50" w:rsidP="00FC7DC8">
      <w:pPr>
        <w:pStyle w:val="5BodyText"/>
        <w:rPr>
          <w:color w:val="333333" w:themeColor="background1"/>
        </w:rPr>
      </w:pPr>
    </w:p>
    <w:p w14:paraId="099B5551" w14:textId="77777777" w:rsidR="00B65A50" w:rsidRPr="00F041AD" w:rsidRDefault="00B65A50" w:rsidP="00FC7DC8">
      <w:pPr>
        <w:pStyle w:val="5BodyText"/>
        <w:rPr>
          <w:i/>
          <w:color w:val="333333" w:themeColor="background1"/>
        </w:rPr>
      </w:pPr>
      <w:r w:rsidRPr="00F041AD">
        <w:rPr>
          <w:b/>
          <w:i/>
          <w:color w:val="333333" w:themeColor="background1"/>
        </w:rPr>
        <w:t>Indicators of strategy success</w:t>
      </w:r>
    </w:p>
    <w:p w14:paraId="2724AF10" w14:textId="77777777" w:rsidR="00B65A50" w:rsidRPr="00F041AD" w:rsidRDefault="00B65A50" w:rsidP="00FC7DC8">
      <w:pPr>
        <w:pStyle w:val="5BodyText"/>
        <w:numPr>
          <w:ilvl w:val="0"/>
          <w:numId w:val="133"/>
        </w:numPr>
        <w:rPr>
          <w:color w:val="333333" w:themeColor="background1"/>
        </w:rPr>
      </w:pPr>
      <w:r w:rsidRPr="00F041AD">
        <w:rPr>
          <w:color w:val="333333" w:themeColor="background1"/>
        </w:rPr>
        <w:t xml:space="preserve">Number of cities taking actions through the </w:t>
      </w:r>
      <w:proofErr w:type="spellStart"/>
      <w:r w:rsidRPr="00F041AD">
        <w:rPr>
          <w:color w:val="333333" w:themeColor="background1"/>
        </w:rPr>
        <w:t>GreenStep</w:t>
      </w:r>
      <w:proofErr w:type="spellEnd"/>
      <w:r w:rsidRPr="00F041AD">
        <w:rPr>
          <w:color w:val="333333" w:themeColor="background1"/>
        </w:rPr>
        <w:t xml:space="preserve"> Cities program </w:t>
      </w:r>
    </w:p>
    <w:p w14:paraId="455CB9DA" w14:textId="77777777" w:rsidR="00B65A50" w:rsidRPr="00F041AD" w:rsidRDefault="00B65A50" w:rsidP="00FC7DC8">
      <w:pPr>
        <w:pStyle w:val="5BodyText"/>
        <w:numPr>
          <w:ilvl w:val="0"/>
          <w:numId w:val="133"/>
        </w:numPr>
        <w:rPr>
          <w:color w:val="333333" w:themeColor="background1"/>
        </w:rPr>
      </w:pPr>
      <w:r w:rsidRPr="00F041AD">
        <w:rPr>
          <w:color w:val="333333" w:themeColor="background1"/>
        </w:rPr>
        <w:t>Energy use/energy intensity reduced</w:t>
      </w:r>
    </w:p>
    <w:p w14:paraId="1152AD26" w14:textId="77777777" w:rsidR="00B65A50" w:rsidRPr="00F041AD" w:rsidRDefault="00B65A50" w:rsidP="00FC7DC8">
      <w:pPr>
        <w:pStyle w:val="5BodyText"/>
        <w:numPr>
          <w:ilvl w:val="0"/>
          <w:numId w:val="133"/>
        </w:numPr>
        <w:rPr>
          <w:color w:val="333333" w:themeColor="background1"/>
        </w:rPr>
      </w:pPr>
      <w:r w:rsidRPr="00F041AD">
        <w:rPr>
          <w:color w:val="333333" w:themeColor="background1"/>
        </w:rPr>
        <w:t>Reduced energy bills for residents, businesses, local government operations</w:t>
      </w:r>
    </w:p>
    <w:p w14:paraId="2BC95330" w14:textId="77777777" w:rsidR="00B65A50" w:rsidRPr="00F041AD" w:rsidRDefault="00B65A50" w:rsidP="00FC7DC8">
      <w:pPr>
        <w:pStyle w:val="5BodyText"/>
        <w:numPr>
          <w:ilvl w:val="0"/>
          <w:numId w:val="133"/>
        </w:numPr>
        <w:rPr>
          <w:color w:val="333333" w:themeColor="background1"/>
        </w:rPr>
      </w:pPr>
      <w:r w:rsidRPr="00F041AD">
        <w:rPr>
          <w:color w:val="333333" w:themeColor="background1"/>
        </w:rPr>
        <w:t>Reduced percent of households living in energy poverty</w:t>
      </w:r>
    </w:p>
    <w:p w14:paraId="65891DBF" w14:textId="77777777" w:rsidR="00B65A50" w:rsidRPr="00F041AD" w:rsidRDefault="00B65A50" w:rsidP="00FC7DC8">
      <w:pPr>
        <w:pStyle w:val="5BodyText"/>
        <w:rPr>
          <w:b/>
          <w:i/>
          <w:color w:val="333333" w:themeColor="background1"/>
        </w:rPr>
      </w:pPr>
    </w:p>
    <w:p w14:paraId="584702E6" w14:textId="77777777" w:rsidR="00B65A50" w:rsidRPr="00F041AD" w:rsidRDefault="00B65A50" w:rsidP="00FC7DC8">
      <w:pPr>
        <w:pStyle w:val="5BodyText"/>
        <w:rPr>
          <w:i/>
          <w:color w:val="333333" w:themeColor="background1"/>
        </w:rPr>
      </w:pPr>
      <w:r w:rsidRPr="00F041AD">
        <w:rPr>
          <w:b/>
          <w:i/>
          <w:color w:val="333333" w:themeColor="background1"/>
        </w:rPr>
        <w:t>Cross-sector opportunities and synergies:</w:t>
      </w:r>
    </w:p>
    <w:p w14:paraId="37471B94" w14:textId="5EE82517" w:rsidR="00B65A50" w:rsidRPr="00F041AD" w:rsidRDefault="00B65A50" w:rsidP="00FC7DC8">
      <w:pPr>
        <w:pStyle w:val="5BodyText"/>
        <w:numPr>
          <w:ilvl w:val="0"/>
          <w:numId w:val="134"/>
        </w:numPr>
        <w:rPr>
          <w:b/>
          <w:color w:val="333333" w:themeColor="background1"/>
        </w:rPr>
      </w:pPr>
      <w:r w:rsidRPr="00F041AD">
        <w:rPr>
          <w:b/>
          <w:color w:val="333333" w:themeColor="background1"/>
        </w:rPr>
        <w:t xml:space="preserve">Benchmarking programs </w:t>
      </w:r>
      <w:r w:rsidRPr="00F041AD">
        <w:rPr>
          <w:color w:val="333333" w:themeColor="background1"/>
        </w:rPr>
        <w:t xml:space="preserve">can allow local </w:t>
      </w:r>
      <w:r w:rsidR="004308E1">
        <w:rPr>
          <w:color w:val="333333" w:themeColor="background1"/>
        </w:rPr>
        <w:t xml:space="preserve">governments </w:t>
      </w:r>
      <w:r w:rsidRPr="00F041AD">
        <w:rPr>
          <w:color w:val="333333" w:themeColor="background1"/>
        </w:rPr>
        <w:t xml:space="preserve">and tribal </w:t>
      </w:r>
      <w:r w:rsidR="004308E1">
        <w:rPr>
          <w:color w:val="333333" w:themeColor="background1"/>
        </w:rPr>
        <w:t>nations</w:t>
      </w:r>
      <w:r w:rsidR="004308E1" w:rsidRPr="00F041AD">
        <w:rPr>
          <w:color w:val="333333" w:themeColor="background1"/>
        </w:rPr>
        <w:t xml:space="preserve"> </w:t>
      </w:r>
      <w:r w:rsidRPr="00F041AD">
        <w:rPr>
          <w:color w:val="333333" w:themeColor="background1"/>
        </w:rPr>
        <w:t>to assess progress towards goals.</w:t>
      </w:r>
    </w:p>
    <w:p w14:paraId="3DF9D76E" w14:textId="77777777" w:rsidR="00B65A50" w:rsidRPr="00F041AD" w:rsidRDefault="00B65A50" w:rsidP="00FC7DC8">
      <w:pPr>
        <w:pStyle w:val="5BodyText"/>
        <w:numPr>
          <w:ilvl w:val="0"/>
          <w:numId w:val="134"/>
        </w:numPr>
        <w:rPr>
          <w:b/>
          <w:color w:val="333333" w:themeColor="background1"/>
        </w:rPr>
      </w:pPr>
      <w:r w:rsidRPr="00F041AD">
        <w:rPr>
          <w:color w:val="333333" w:themeColor="background1"/>
        </w:rPr>
        <w:t xml:space="preserve">Local governments can take action to promote </w:t>
      </w:r>
      <w:r w:rsidRPr="00F041AD">
        <w:rPr>
          <w:b/>
          <w:color w:val="333333" w:themeColor="background1"/>
        </w:rPr>
        <w:t xml:space="preserve">thermal grids </w:t>
      </w:r>
      <w:r w:rsidRPr="00F041AD">
        <w:rPr>
          <w:color w:val="333333" w:themeColor="background1"/>
        </w:rPr>
        <w:t>in their communities.</w:t>
      </w:r>
    </w:p>
    <w:p w14:paraId="5FE42947" w14:textId="77777777" w:rsidR="002175DB" w:rsidRPr="00F041AD" w:rsidRDefault="002175DB" w:rsidP="00FC7DC8">
      <w:pPr>
        <w:pStyle w:val="5BodyText"/>
        <w:rPr>
          <w:color w:val="333333" w:themeColor="background1"/>
        </w:rPr>
      </w:pPr>
    </w:p>
    <w:p w14:paraId="541A085F" w14:textId="77777777" w:rsidR="00B65A50" w:rsidRPr="00F041AD" w:rsidRDefault="00B65A50" w:rsidP="00FC7DC8">
      <w:pPr>
        <w:pStyle w:val="5BodyText"/>
        <w:rPr>
          <w:i/>
          <w:color w:val="333333" w:themeColor="background1"/>
        </w:rPr>
      </w:pPr>
      <w:r w:rsidRPr="00F041AD">
        <w:rPr>
          <w:b/>
          <w:i/>
          <w:color w:val="333333" w:themeColor="background1"/>
        </w:rPr>
        <w:t>Ongoing Minnesota initiatives:</w:t>
      </w:r>
    </w:p>
    <w:p w14:paraId="05BFF6DD" w14:textId="77777777" w:rsidR="00B65A50" w:rsidRPr="00F041AD" w:rsidRDefault="00B65A50" w:rsidP="00FC7DC8">
      <w:pPr>
        <w:pStyle w:val="5BodyText"/>
        <w:numPr>
          <w:ilvl w:val="0"/>
          <w:numId w:val="135"/>
        </w:numPr>
        <w:rPr>
          <w:color w:val="333333" w:themeColor="background1"/>
        </w:rPr>
      </w:pPr>
      <w:r w:rsidRPr="00F041AD">
        <w:rPr>
          <w:color w:val="333333" w:themeColor="background1"/>
        </w:rPr>
        <w:t xml:space="preserve">The </w:t>
      </w:r>
      <w:hyperlink r:id="rId255" w:history="1">
        <w:r w:rsidRPr="00F041AD">
          <w:rPr>
            <w:rStyle w:val="Hyperlink"/>
            <w:color w:val="333333" w:themeColor="background1"/>
          </w:rPr>
          <w:t>Climate Solutions and Economic Opportunities</w:t>
        </w:r>
      </w:hyperlink>
      <w:r w:rsidRPr="00F041AD">
        <w:rPr>
          <w:color w:val="333333" w:themeColor="background1"/>
        </w:rPr>
        <w:t xml:space="preserve"> (CSEO) initiative is an interagency collaboration led by the Environmental Initiative that models a range of possible policy scenarios impacting Minnesota’s energy future.</w:t>
      </w:r>
      <w:r w:rsidRPr="00F041AD">
        <w:rPr>
          <w:rStyle w:val="EndnoteReference"/>
          <w:color w:val="333333" w:themeColor="background1"/>
        </w:rPr>
        <w:endnoteReference w:id="311"/>
      </w:r>
    </w:p>
    <w:p w14:paraId="306E214D" w14:textId="77777777" w:rsidR="00B65A50" w:rsidRPr="00F041AD" w:rsidRDefault="00B65A50" w:rsidP="00FC7DC8">
      <w:pPr>
        <w:pStyle w:val="5BodyText"/>
        <w:rPr>
          <w:color w:val="333333" w:themeColor="background1"/>
        </w:rPr>
      </w:pPr>
    </w:p>
    <w:p w14:paraId="0C00567A" w14:textId="77777777" w:rsidR="00B65A50" w:rsidRPr="00F041AD" w:rsidRDefault="00B65A50" w:rsidP="00FC7DC8">
      <w:pPr>
        <w:pStyle w:val="5BodyText"/>
        <w:numPr>
          <w:ilvl w:val="0"/>
          <w:numId w:val="135"/>
        </w:numPr>
        <w:rPr>
          <w:color w:val="333333" w:themeColor="background1"/>
        </w:rPr>
      </w:pPr>
      <w:r w:rsidRPr="00F041AD">
        <w:rPr>
          <w:color w:val="333333" w:themeColor="background1"/>
        </w:rPr>
        <w:t xml:space="preserve">Eighteen utilities in Minnesota offer </w:t>
      </w:r>
      <w:hyperlink r:id="rId256" w:anchor="current" w:history="1">
        <w:r w:rsidRPr="00F041AD">
          <w:rPr>
            <w:rStyle w:val="Hyperlink"/>
            <w:color w:val="333333" w:themeColor="background1"/>
          </w:rPr>
          <w:t>community solar programs</w:t>
        </w:r>
      </w:hyperlink>
      <w:r w:rsidRPr="00F041AD">
        <w:rPr>
          <w:color w:val="333333" w:themeColor="background1"/>
        </w:rPr>
        <w:t>, as mandated by a state law (M.S. 216B.1641) in 2013. Community solar allows customers to power their homes with solar energy without putting solar panels on their roofs.</w:t>
      </w:r>
      <w:r w:rsidRPr="00F041AD">
        <w:rPr>
          <w:rStyle w:val="EndnoteReference"/>
          <w:color w:val="333333" w:themeColor="background1"/>
        </w:rPr>
        <w:endnoteReference w:id="312"/>
      </w:r>
      <w:r w:rsidRPr="00F041AD">
        <w:rPr>
          <w:color w:val="333333" w:themeColor="background1"/>
        </w:rPr>
        <w:t xml:space="preserve"> </w:t>
      </w:r>
    </w:p>
    <w:p w14:paraId="04022F16" w14:textId="77777777" w:rsidR="00B65A50" w:rsidRPr="00F041AD" w:rsidRDefault="00B65A50" w:rsidP="00FC7DC8">
      <w:pPr>
        <w:pStyle w:val="5BodyText"/>
        <w:rPr>
          <w:color w:val="333333" w:themeColor="background1"/>
        </w:rPr>
      </w:pPr>
    </w:p>
    <w:p w14:paraId="62D50B46" w14:textId="77777777" w:rsidR="00B65A50" w:rsidRPr="00F041AD" w:rsidRDefault="006506BB" w:rsidP="00FC7DC8">
      <w:pPr>
        <w:pStyle w:val="5BodyText"/>
        <w:numPr>
          <w:ilvl w:val="0"/>
          <w:numId w:val="135"/>
        </w:numPr>
        <w:rPr>
          <w:color w:val="333333" w:themeColor="background1"/>
        </w:rPr>
      </w:pPr>
      <w:hyperlink r:id="rId257" w:history="1">
        <w:r w:rsidR="00B65A50" w:rsidRPr="00F041AD">
          <w:rPr>
            <w:rStyle w:val="Hyperlink"/>
            <w:color w:val="333333" w:themeColor="background1"/>
          </w:rPr>
          <w:t>Clean Energy Resource Teams (CERTs)</w:t>
        </w:r>
      </w:hyperlink>
      <w:r w:rsidR="00B65A50" w:rsidRPr="00F041AD">
        <w:rPr>
          <w:color w:val="333333" w:themeColor="background1"/>
        </w:rPr>
        <w:t xml:space="preserve"> partner with communities across the state to connect communities with resources to implement energy conservation and clean energy projects.</w:t>
      </w:r>
      <w:r w:rsidR="00B65A50" w:rsidRPr="00F041AD">
        <w:rPr>
          <w:rStyle w:val="EndnoteReference"/>
          <w:color w:val="333333" w:themeColor="background1"/>
        </w:rPr>
        <w:endnoteReference w:id="313"/>
      </w:r>
      <w:r w:rsidR="00B65A50" w:rsidRPr="00F041AD">
        <w:rPr>
          <w:color w:val="333333" w:themeColor="background1"/>
        </w:rPr>
        <w:t xml:space="preserve"> </w:t>
      </w:r>
    </w:p>
    <w:p w14:paraId="221E63AF" w14:textId="77777777" w:rsidR="00B65A50" w:rsidRPr="00F041AD" w:rsidRDefault="00B65A50" w:rsidP="00FC7DC8">
      <w:pPr>
        <w:pStyle w:val="5BodyText"/>
        <w:rPr>
          <w:color w:val="333333" w:themeColor="background1"/>
        </w:rPr>
      </w:pPr>
    </w:p>
    <w:p w14:paraId="02E2EF98" w14:textId="77777777" w:rsidR="00B65A50" w:rsidRPr="00F041AD" w:rsidRDefault="00B65A50" w:rsidP="00FC7DC8">
      <w:pPr>
        <w:pStyle w:val="5BodyText"/>
        <w:numPr>
          <w:ilvl w:val="0"/>
          <w:numId w:val="135"/>
        </w:numPr>
        <w:rPr>
          <w:color w:val="333333" w:themeColor="background1"/>
        </w:rPr>
      </w:pPr>
      <w:r w:rsidRPr="00F041AD">
        <w:rPr>
          <w:color w:val="333333" w:themeColor="background1"/>
        </w:rPr>
        <w:t xml:space="preserve">Fresh Energy’s </w:t>
      </w:r>
      <w:hyperlink r:id="rId258" w:history="1">
        <w:r w:rsidRPr="00F041AD">
          <w:rPr>
            <w:rStyle w:val="Hyperlink"/>
            <w:color w:val="333333" w:themeColor="background1"/>
          </w:rPr>
          <w:t>Solar for All</w:t>
        </w:r>
      </w:hyperlink>
      <w:r w:rsidRPr="00F041AD">
        <w:rPr>
          <w:color w:val="333333" w:themeColor="background1"/>
        </w:rPr>
        <w:t xml:space="preserve"> program that seeks to ensure all Minnesotans have access to clean energy options as the solar market continues to grow in the state.</w:t>
      </w:r>
      <w:r w:rsidRPr="00F041AD">
        <w:rPr>
          <w:rStyle w:val="EndnoteReference"/>
          <w:color w:val="333333" w:themeColor="background1"/>
        </w:rPr>
        <w:endnoteReference w:id="314"/>
      </w:r>
    </w:p>
    <w:p w14:paraId="570E447A" w14:textId="77777777" w:rsidR="00B65A50" w:rsidRPr="00F041AD" w:rsidRDefault="00B65A50" w:rsidP="00FC7DC8">
      <w:pPr>
        <w:pStyle w:val="5BodyText"/>
        <w:rPr>
          <w:color w:val="333333" w:themeColor="background1"/>
        </w:rPr>
      </w:pPr>
    </w:p>
    <w:p w14:paraId="5965E73E" w14:textId="77777777" w:rsidR="00B65A50" w:rsidRPr="00F041AD" w:rsidRDefault="00B65A50" w:rsidP="00FC7DC8">
      <w:pPr>
        <w:pStyle w:val="5BodyText"/>
        <w:numPr>
          <w:ilvl w:val="0"/>
          <w:numId w:val="135"/>
        </w:numPr>
        <w:rPr>
          <w:color w:val="333333" w:themeColor="background1"/>
        </w:rPr>
      </w:pPr>
      <w:r w:rsidRPr="00F041AD">
        <w:rPr>
          <w:color w:val="333333" w:themeColor="background1"/>
        </w:rPr>
        <w:lastRenderedPageBreak/>
        <w:t xml:space="preserve">The Minnesota Department of Commerce provides a number of technical assistance and financing programs to support public entities in implementing energy efficiency and renewable energy projects. Programs include the </w:t>
      </w:r>
      <w:hyperlink r:id="rId259">
        <w:r w:rsidRPr="00F041AD">
          <w:rPr>
            <w:color w:val="333333" w:themeColor="background1"/>
            <w:u w:val="single"/>
          </w:rPr>
          <w:t>Guaranteed Energy Savings Program</w:t>
        </w:r>
      </w:hyperlink>
      <w:r w:rsidRPr="00F041AD">
        <w:rPr>
          <w:color w:val="333333" w:themeColor="background1"/>
          <w:u w:val="single"/>
        </w:rPr>
        <w:t xml:space="preserve">; the </w:t>
      </w:r>
      <w:hyperlink r:id="rId260">
        <w:r w:rsidRPr="00F041AD">
          <w:rPr>
            <w:color w:val="333333" w:themeColor="background1"/>
            <w:u w:val="single"/>
          </w:rPr>
          <w:t>Local Energy Efficiency Program</w:t>
        </w:r>
      </w:hyperlink>
      <w:r w:rsidRPr="00F041AD">
        <w:rPr>
          <w:color w:val="333333" w:themeColor="background1"/>
          <w:u w:val="single"/>
        </w:rPr>
        <w:t>,</w:t>
      </w:r>
      <w:r w:rsidRPr="00F041AD">
        <w:rPr>
          <w:color w:val="333333" w:themeColor="background1"/>
        </w:rPr>
        <w:t xml:space="preserve"> </w:t>
      </w:r>
      <w:hyperlink r:id="rId261">
        <w:r w:rsidRPr="00F041AD">
          <w:rPr>
            <w:color w:val="333333" w:themeColor="background1"/>
            <w:u w:val="single"/>
          </w:rPr>
          <w:t>Energy Savings Partnership</w:t>
        </w:r>
      </w:hyperlink>
      <w:r w:rsidRPr="00F041AD">
        <w:rPr>
          <w:color w:val="333333" w:themeColor="background1"/>
        </w:rPr>
        <w:t xml:space="preserve">; the </w:t>
      </w:r>
      <w:hyperlink r:id="rId262">
        <w:r w:rsidRPr="00F041AD">
          <w:rPr>
            <w:color w:val="333333" w:themeColor="background1"/>
            <w:u w:val="single"/>
          </w:rPr>
          <w:t>Public Entity Energy Audit and Renewable Energy Feasibility Study Loan Program</w:t>
        </w:r>
      </w:hyperlink>
      <w:r w:rsidRPr="00F041AD">
        <w:rPr>
          <w:color w:val="333333" w:themeColor="background1"/>
        </w:rPr>
        <w:t xml:space="preserve">; and </w:t>
      </w:r>
      <w:hyperlink r:id="rId263">
        <w:r w:rsidRPr="00F041AD">
          <w:rPr>
            <w:color w:val="333333" w:themeColor="background1"/>
            <w:u w:val="single"/>
          </w:rPr>
          <w:t>Rev It Up</w:t>
        </w:r>
      </w:hyperlink>
      <w:r w:rsidRPr="00F041AD">
        <w:rPr>
          <w:color w:val="333333" w:themeColor="background1"/>
          <w:u w:val="single"/>
        </w:rPr>
        <w:t>.</w:t>
      </w:r>
      <w:r w:rsidRPr="00F041AD">
        <w:rPr>
          <w:rStyle w:val="EndnoteReference"/>
          <w:color w:val="333333" w:themeColor="background1"/>
          <w:u w:val="single"/>
        </w:rPr>
        <w:endnoteReference w:id="315"/>
      </w:r>
    </w:p>
    <w:p w14:paraId="35652E16" w14:textId="77777777" w:rsidR="00B65A50" w:rsidRPr="00F041AD" w:rsidRDefault="00B65A50" w:rsidP="00FC7DC8">
      <w:pPr>
        <w:pStyle w:val="5BodyText"/>
        <w:rPr>
          <w:b/>
          <w:color w:val="333333" w:themeColor="background1"/>
        </w:rPr>
      </w:pPr>
    </w:p>
    <w:p w14:paraId="05A5BF70" w14:textId="77777777" w:rsidR="00B65A50" w:rsidRPr="00F041AD" w:rsidRDefault="00B65A50" w:rsidP="00FC7DC8">
      <w:pPr>
        <w:pStyle w:val="5BodyText"/>
        <w:rPr>
          <w:b/>
          <w:color w:val="333333" w:themeColor="background1"/>
        </w:rPr>
      </w:pPr>
      <w:r w:rsidRPr="00F041AD">
        <w:rPr>
          <w:b/>
          <w:i/>
          <w:color w:val="333333" w:themeColor="background1"/>
        </w:rPr>
        <w:t>Other related resources</w:t>
      </w:r>
    </w:p>
    <w:p w14:paraId="42ADDD11" w14:textId="77777777" w:rsidR="00B65A50" w:rsidRPr="00F041AD" w:rsidRDefault="00B65A50" w:rsidP="00FC7DC8">
      <w:pPr>
        <w:pStyle w:val="5BodyText"/>
        <w:numPr>
          <w:ilvl w:val="0"/>
          <w:numId w:val="136"/>
        </w:numPr>
        <w:rPr>
          <w:color w:val="333333" w:themeColor="background1"/>
        </w:rPr>
      </w:pPr>
      <w:r w:rsidRPr="00F041AD">
        <w:rPr>
          <w:color w:val="333333" w:themeColor="background1"/>
        </w:rPr>
        <w:t xml:space="preserve">Several Minnesota state agencies provide data, technical assistance, and funding, including the </w:t>
      </w:r>
      <w:hyperlink r:id="rId264" w:history="1">
        <w:r w:rsidRPr="00F041AD">
          <w:rPr>
            <w:rStyle w:val="Hyperlink"/>
            <w:color w:val="333333" w:themeColor="background1"/>
          </w:rPr>
          <w:t>Minnesota Pollution Control Agency</w:t>
        </w:r>
      </w:hyperlink>
      <w:r w:rsidRPr="00F041AD">
        <w:rPr>
          <w:color w:val="333333" w:themeColor="background1"/>
        </w:rPr>
        <w:t xml:space="preserve">, the </w:t>
      </w:r>
      <w:hyperlink r:id="rId265" w:history="1">
        <w:r w:rsidRPr="00F041AD">
          <w:rPr>
            <w:rStyle w:val="Hyperlink"/>
            <w:color w:val="333333" w:themeColor="background1"/>
          </w:rPr>
          <w:t>Department of Commerce</w:t>
        </w:r>
      </w:hyperlink>
      <w:r w:rsidRPr="00F041AD">
        <w:rPr>
          <w:color w:val="333333" w:themeColor="background1"/>
        </w:rPr>
        <w:t xml:space="preserve">, and the </w:t>
      </w:r>
      <w:hyperlink r:id="rId266" w:history="1">
        <w:r w:rsidRPr="00F041AD">
          <w:rPr>
            <w:rStyle w:val="Hyperlink"/>
            <w:color w:val="333333" w:themeColor="background1"/>
          </w:rPr>
          <w:t>Department of Natural Resources</w:t>
        </w:r>
      </w:hyperlink>
      <w:r w:rsidRPr="00F041AD">
        <w:rPr>
          <w:color w:val="333333" w:themeColor="background1"/>
        </w:rPr>
        <w:t>.</w:t>
      </w:r>
      <w:r w:rsidRPr="00F041AD">
        <w:rPr>
          <w:rStyle w:val="EndnoteReference"/>
          <w:color w:val="333333" w:themeColor="background1"/>
        </w:rPr>
        <w:endnoteReference w:id="316"/>
      </w:r>
      <w:r w:rsidRPr="00F041AD">
        <w:rPr>
          <w:color w:val="333333" w:themeColor="background1"/>
        </w:rPr>
        <w:t xml:space="preserve"> </w:t>
      </w:r>
      <w:r w:rsidRPr="00F041AD">
        <w:rPr>
          <w:rStyle w:val="EndnoteReference"/>
          <w:color w:val="333333" w:themeColor="background1"/>
        </w:rPr>
        <w:endnoteReference w:id="317"/>
      </w:r>
      <w:r w:rsidRPr="00F041AD">
        <w:rPr>
          <w:color w:val="333333" w:themeColor="background1"/>
        </w:rPr>
        <w:t xml:space="preserve"> </w:t>
      </w:r>
      <w:r w:rsidRPr="00F041AD">
        <w:rPr>
          <w:rStyle w:val="EndnoteReference"/>
          <w:color w:val="333333" w:themeColor="background1"/>
        </w:rPr>
        <w:endnoteReference w:id="318"/>
      </w:r>
    </w:p>
    <w:p w14:paraId="2306A38E" w14:textId="77777777" w:rsidR="00B65A50" w:rsidRPr="00F041AD" w:rsidRDefault="00B65A50" w:rsidP="00FC7DC8">
      <w:pPr>
        <w:pStyle w:val="5BodyText"/>
        <w:rPr>
          <w:color w:val="333333" w:themeColor="background1"/>
        </w:rPr>
      </w:pPr>
    </w:p>
    <w:p w14:paraId="50BD31E9" w14:textId="77777777" w:rsidR="00B65A50" w:rsidRPr="00F041AD" w:rsidRDefault="00B65A50" w:rsidP="00FC7DC8">
      <w:pPr>
        <w:pStyle w:val="5BodyText"/>
        <w:numPr>
          <w:ilvl w:val="0"/>
          <w:numId w:val="136"/>
        </w:numPr>
        <w:rPr>
          <w:color w:val="333333" w:themeColor="background1"/>
        </w:rPr>
      </w:pPr>
      <w:r w:rsidRPr="00F041AD">
        <w:rPr>
          <w:color w:val="333333" w:themeColor="background1"/>
        </w:rPr>
        <w:t xml:space="preserve">Grow </w:t>
      </w:r>
      <w:proofErr w:type="spellStart"/>
      <w:r w:rsidRPr="00F041AD">
        <w:rPr>
          <w:color w:val="333333" w:themeColor="background1"/>
        </w:rPr>
        <w:t>Solar’s</w:t>
      </w:r>
      <w:proofErr w:type="spellEnd"/>
      <w:r w:rsidRPr="00F041AD">
        <w:rPr>
          <w:color w:val="333333" w:themeColor="background1"/>
        </w:rPr>
        <w:t xml:space="preserve"> </w:t>
      </w:r>
      <w:hyperlink r:id="rId267" w:history="1">
        <w:r w:rsidRPr="00F041AD">
          <w:rPr>
            <w:rStyle w:val="Hyperlink"/>
            <w:color w:val="333333" w:themeColor="background1"/>
          </w:rPr>
          <w:t>Local Government Solar Toolkit</w:t>
        </w:r>
      </w:hyperlink>
      <w:r w:rsidRPr="00F041AD">
        <w:rPr>
          <w:color w:val="333333" w:themeColor="background1"/>
        </w:rPr>
        <w:t xml:space="preserve"> for Minnesota offers guidance on comprehensive planning, zoning, and permitting to enable solar development. Grow Solar also offers </w:t>
      </w:r>
      <w:hyperlink r:id="rId268" w:history="1">
        <w:r w:rsidRPr="00F041AD">
          <w:rPr>
            <w:rStyle w:val="Hyperlink"/>
            <w:color w:val="333333" w:themeColor="background1"/>
          </w:rPr>
          <w:t>technical assistance</w:t>
        </w:r>
      </w:hyperlink>
      <w:r w:rsidRPr="00F041AD">
        <w:rPr>
          <w:color w:val="333333" w:themeColor="background1"/>
        </w:rPr>
        <w:t xml:space="preserve"> in solar energy.</w:t>
      </w:r>
      <w:r w:rsidRPr="00F041AD">
        <w:rPr>
          <w:rStyle w:val="EndnoteReference"/>
          <w:color w:val="333333" w:themeColor="background1"/>
        </w:rPr>
        <w:endnoteReference w:id="319"/>
      </w:r>
      <w:r w:rsidRPr="00F041AD">
        <w:rPr>
          <w:color w:val="333333" w:themeColor="background1"/>
        </w:rPr>
        <w:t xml:space="preserve"> </w:t>
      </w:r>
      <w:r w:rsidRPr="00F041AD">
        <w:rPr>
          <w:rStyle w:val="EndnoteReference"/>
          <w:color w:val="333333" w:themeColor="background1"/>
        </w:rPr>
        <w:endnoteReference w:id="320"/>
      </w:r>
    </w:p>
    <w:p w14:paraId="0530A1BF" w14:textId="77777777" w:rsidR="00B65A50" w:rsidRPr="00F041AD" w:rsidRDefault="00B65A50" w:rsidP="00FC7DC8">
      <w:pPr>
        <w:pStyle w:val="5BodyText"/>
        <w:rPr>
          <w:color w:val="333333" w:themeColor="background1"/>
        </w:rPr>
      </w:pPr>
    </w:p>
    <w:p w14:paraId="35B9D7A8" w14:textId="77777777" w:rsidR="00B65A50" w:rsidRPr="00F041AD" w:rsidRDefault="00B65A50" w:rsidP="00FC7DC8">
      <w:pPr>
        <w:pStyle w:val="5BodyText"/>
        <w:numPr>
          <w:ilvl w:val="0"/>
          <w:numId w:val="136"/>
        </w:numPr>
        <w:rPr>
          <w:color w:val="333333" w:themeColor="background1"/>
        </w:rPr>
      </w:pPr>
      <w:r w:rsidRPr="00F041AD">
        <w:rPr>
          <w:color w:val="333333" w:themeColor="background1"/>
        </w:rPr>
        <w:t xml:space="preserve">The </w:t>
      </w:r>
      <w:hyperlink r:id="rId269" w:history="1">
        <w:r w:rsidRPr="00F041AD">
          <w:rPr>
            <w:rStyle w:val="Hyperlink"/>
            <w:color w:val="333333" w:themeColor="background1"/>
          </w:rPr>
          <w:t>Minnesota Department of Labor and Industry</w:t>
        </w:r>
      </w:hyperlink>
      <w:r w:rsidRPr="00F041AD">
        <w:rPr>
          <w:color w:val="333333" w:themeColor="background1"/>
        </w:rPr>
        <w:t xml:space="preserve"> offers a number of solar PV resources, including electrical licensing, permits, inspection fees, and codes.</w:t>
      </w:r>
      <w:r w:rsidRPr="00F041AD">
        <w:rPr>
          <w:rStyle w:val="EndnoteReference"/>
          <w:color w:val="333333" w:themeColor="background1"/>
        </w:rPr>
        <w:endnoteReference w:id="321"/>
      </w:r>
      <w:r w:rsidRPr="00F041AD">
        <w:rPr>
          <w:color w:val="333333" w:themeColor="background1"/>
        </w:rPr>
        <w:t xml:space="preserve"> </w:t>
      </w:r>
    </w:p>
    <w:p w14:paraId="35931582" w14:textId="77777777" w:rsidR="00B65A50" w:rsidRPr="00F041AD" w:rsidRDefault="00B65A50" w:rsidP="00FC7DC8">
      <w:pPr>
        <w:pStyle w:val="5BodyText"/>
        <w:rPr>
          <w:color w:val="333333" w:themeColor="background1"/>
          <w:u w:val="single"/>
        </w:rPr>
      </w:pPr>
    </w:p>
    <w:p w14:paraId="66ACEF05" w14:textId="77777777" w:rsidR="00B65A50" w:rsidRPr="00F041AD" w:rsidRDefault="00B65A50" w:rsidP="00FC7DC8">
      <w:pPr>
        <w:pStyle w:val="5BodyText"/>
        <w:numPr>
          <w:ilvl w:val="0"/>
          <w:numId w:val="136"/>
        </w:numPr>
        <w:rPr>
          <w:color w:val="333333" w:themeColor="background1"/>
        </w:rPr>
      </w:pPr>
      <w:proofErr w:type="spellStart"/>
      <w:r w:rsidRPr="00F041AD">
        <w:rPr>
          <w:color w:val="333333" w:themeColor="background1"/>
          <w:u w:val="single"/>
        </w:rPr>
        <w:t>Optony’s</w:t>
      </w:r>
      <w:proofErr w:type="spellEnd"/>
      <w:r w:rsidRPr="00F041AD">
        <w:rPr>
          <w:color w:val="333333" w:themeColor="background1"/>
        </w:rPr>
        <w:t xml:space="preserve"> </w:t>
      </w:r>
      <w:hyperlink r:id="rId270" w:history="1">
        <w:r w:rsidRPr="00F041AD">
          <w:rPr>
            <w:rStyle w:val="Hyperlink"/>
            <w:color w:val="333333" w:themeColor="background1"/>
          </w:rPr>
          <w:t>Solar Road Map</w:t>
        </w:r>
      </w:hyperlink>
      <w:r w:rsidRPr="00F041AD">
        <w:rPr>
          <w:color w:val="333333" w:themeColor="background1"/>
        </w:rPr>
        <w:t xml:space="preserve"> offers customized, interactive information on local solar markets, and tools for local governments, residents, businesses, electric utilities and industry professionals.</w:t>
      </w:r>
      <w:r w:rsidRPr="00F041AD">
        <w:rPr>
          <w:rStyle w:val="EndnoteReference"/>
          <w:color w:val="333333" w:themeColor="background1"/>
        </w:rPr>
        <w:endnoteReference w:id="322"/>
      </w:r>
    </w:p>
    <w:p w14:paraId="135A8802" w14:textId="77777777" w:rsidR="00B65A50" w:rsidRPr="00F041AD" w:rsidRDefault="00B65A50" w:rsidP="00FC7DC8">
      <w:pPr>
        <w:pStyle w:val="5BodyText"/>
        <w:rPr>
          <w:color w:val="333333" w:themeColor="background1"/>
        </w:rPr>
      </w:pPr>
    </w:p>
    <w:p w14:paraId="13206B81" w14:textId="77777777" w:rsidR="00B65A50" w:rsidRPr="00F041AD" w:rsidRDefault="00B65A50" w:rsidP="00FC7DC8">
      <w:pPr>
        <w:pStyle w:val="5BodyText"/>
        <w:numPr>
          <w:ilvl w:val="0"/>
          <w:numId w:val="136"/>
        </w:numPr>
        <w:rPr>
          <w:color w:val="333333" w:themeColor="background1"/>
        </w:rPr>
      </w:pPr>
      <w:r w:rsidRPr="00F041AD">
        <w:rPr>
          <w:color w:val="333333" w:themeColor="background1"/>
        </w:rPr>
        <w:t xml:space="preserve">The North Carolina Clean Technology Center’s </w:t>
      </w:r>
      <w:hyperlink r:id="rId271" w:history="1">
        <w:r w:rsidRPr="00F041AD">
          <w:rPr>
            <w:rStyle w:val="Hyperlink"/>
            <w:color w:val="333333" w:themeColor="background1"/>
          </w:rPr>
          <w:t>DSIRE® database</w:t>
        </w:r>
      </w:hyperlink>
      <w:r w:rsidRPr="00F041AD">
        <w:rPr>
          <w:color w:val="333333" w:themeColor="background1"/>
        </w:rPr>
        <w:t xml:space="preserve"> catalogues state incentives for renewables and efficiency.</w:t>
      </w:r>
      <w:r w:rsidRPr="00F041AD">
        <w:rPr>
          <w:rStyle w:val="EndnoteReference"/>
          <w:color w:val="333333" w:themeColor="background1"/>
        </w:rPr>
        <w:endnoteReference w:id="323"/>
      </w:r>
    </w:p>
    <w:p w14:paraId="5DC8DEDF" w14:textId="77777777" w:rsidR="00B65A50" w:rsidRPr="00F041AD" w:rsidRDefault="00B65A50" w:rsidP="00FC7DC8">
      <w:pPr>
        <w:pStyle w:val="5BodyText"/>
        <w:rPr>
          <w:color w:val="333333" w:themeColor="background1"/>
        </w:rPr>
      </w:pPr>
    </w:p>
    <w:p w14:paraId="7E1AF4E3" w14:textId="77777777" w:rsidR="00B65A50" w:rsidRPr="00F041AD" w:rsidRDefault="00B65A50" w:rsidP="00FC7DC8">
      <w:pPr>
        <w:pStyle w:val="5BodyText"/>
        <w:numPr>
          <w:ilvl w:val="0"/>
          <w:numId w:val="136"/>
        </w:numPr>
        <w:rPr>
          <w:color w:val="333333" w:themeColor="background1"/>
        </w:rPr>
      </w:pPr>
      <w:r w:rsidRPr="00F041AD">
        <w:rPr>
          <w:color w:val="333333" w:themeColor="background1"/>
        </w:rPr>
        <w:t>The Minnesota Department of Commerce website will have state-based and government-funded programs, broken by sector (e.g. industrial, residential).</w:t>
      </w:r>
    </w:p>
    <w:p w14:paraId="2C593D41" w14:textId="77777777" w:rsidR="0053594C" w:rsidRDefault="0053594C" w:rsidP="007F3F44">
      <w:pPr>
        <w:pStyle w:val="6BodyHighlight"/>
        <w:rPr>
          <w:color w:val="333333" w:themeColor="background1"/>
        </w:rPr>
      </w:pPr>
    </w:p>
    <w:p w14:paraId="1CC9C714" w14:textId="71CB31EF" w:rsidR="009A2C75" w:rsidRPr="00F041AD" w:rsidRDefault="009A2C75" w:rsidP="007F3F44">
      <w:pPr>
        <w:pStyle w:val="6BodyHighlight"/>
        <w:rPr>
          <w:color w:val="333333" w:themeColor="background1"/>
        </w:rPr>
        <w:sectPr w:rsidR="009A2C75" w:rsidRPr="00F041AD" w:rsidSect="00564DC9">
          <w:endnotePr>
            <w:numFmt w:val="decimal"/>
          </w:endnotePr>
          <w:type w:val="continuous"/>
          <w:pgSz w:w="12240" w:h="15840"/>
          <w:pgMar w:top="1627" w:right="1080" w:bottom="1440" w:left="1080" w:header="720" w:footer="278" w:gutter="0"/>
          <w:cols w:space="720"/>
          <w:titlePg/>
        </w:sectPr>
      </w:pPr>
      <w:bookmarkStart w:id="288" w:name="_Toc322961661"/>
      <w:r w:rsidRPr="00F041AD">
        <w:rPr>
          <w:color w:val="333333" w:themeColor="background1"/>
        </w:rPr>
        <w:t>Reference</w:t>
      </w:r>
      <w:r w:rsidR="00A31126" w:rsidRPr="00F041AD">
        <w:rPr>
          <w:color w:val="333333" w:themeColor="background1"/>
        </w:rPr>
        <w:t>s</w:t>
      </w:r>
      <w:bookmarkEnd w:id="288"/>
    </w:p>
    <w:p w14:paraId="55346F97" w14:textId="186655CB" w:rsidR="00B65A50" w:rsidRPr="00F041AD" w:rsidRDefault="00B65A50" w:rsidP="00875F55">
      <w:pPr>
        <w:pStyle w:val="3SectionTitle"/>
        <w:rPr>
          <w:color w:val="333333" w:themeColor="background1"/>
        </w:rPr>
      </w:pPr>
      <w:bookmarkStart w:id="289" w:name="_Toc322933807"/>
      <w:bookmarkStart w:id="290" w:name="_Toc322961662"/>
      <w:bookmarkStart w:id="291" w:name="_Toc322962058"/>
      <w:bookmarkStart w:id="292" w:name="_Toc322962245"/>
      <w:r w:rsidRPr="00F041AD">
        <w:rPr>
          <w:color w:val="333333" w:themeColor="background1"/>
        </w:rPr>
        <w:lastRenderedPageBreak/>
        <w:t>5. Additional opportunities</w:t>
      </w:r>
      <w:bookmarkEnd w:id="289"/>
      <w:bookmarkEnd w:id="290"/>
      <w:bookmarkEnd w:id="291"/>
      <w:bookmarkEnd w:id="292"/>
    </w:p>
    <w:p w14:paraId="57A9E8E4" w14:textId="77777777" w:rsidR="00B65A50" w:rsidRPr="00F041AD" w:rsidRDefault="00B65A50" w:rsidP="00B95D21">
      <w:pPr>
        <w:pStyle w:val="5BodyText"/>
        <w:rPr>
          <w:color w:val="333333" w:themeColor="background1"/>
        </w:rPr>
      </w:pPr>
    </w:p>
    <w:p w14:paraId="2C586864" w14:textId="77777777" w:rsidR="00B65A50" w:rsidRPr="00F041AD" w:rsidRDefault="00B65A50" w:rsidP="00B95D21">
      <w:pPr>
        <w:pStyle w:val="5BodyText"/>
        <w:rPr>
          <w:color w:val="333333" w:themeColor="background1"/>
        </w:rPr>
      </w:pPr>
      <w:r w:rsidRPr="00F041AD">
        <w:rPr>
          <w:color w:val="333333" w:themeColor="background1"/>
        </w:rPr>
        <w:t>The strategies presented in this report, by design, focus on cross-sector opportunities for action. Each strategy was included because of its near-term potential to drive progress in the state. However, stakeholders identified many more strategies as potentially important and impactful steps for Minnesota to consider as part of the development of this report. They are not included as strategies in the preceding sections because they do not meet one or more of the criteria for strategy selection described in the Introduction (e.g. lack of a present-day champion or other reasons). We list them here, by section, in order to reflect the work of the stakeholder advisory committee on these important future opportunities.</w:t>
      </w:r>
    </w:p>
    <w:p w14:paraId="56A99DF1" w14:textId="77777777" w:rsidR="00B65A50" w:rsidRPr="00F041AD" w:rsidRDefault="00B65A50" w:rsidP="00B95D21">
      <w:pPr>
        <w:pStyle w:val="5BodyText"/>
        <w:rPr>
          <w:color w:val="333333" w:themeColor="background1"/>
        </w:rPr>
      </w:pPr>
      <w:bookmarkStart w:id="293" w:name="_Toc318126196"/>
      <w:bookmarkStart w:id="294" w:name="_Toc319700163"/>
      <w:bookmarkStart w:id="295" w:name="_Toc319794299"/>
    </w:p>
    <w:p w14:paraId="441D09AE" w14:textId="77777777" w:rsidR="00B65A50" w:rsidRPr="00F041AD" w:rsidRDefault="00B65A50" w:rsidP="007F3F44">
      <w:pPr>
        <w:pStyle w:val="6BodyHighlight"/>
        <w:rPr>
          <w:color w:val="333333" w:themeColor="background1"/>
        </w:rPr>
      </w:pPr>
      <w:bookmarkStart w:id="296" w:name="_Toc322961663"/>
      <w:r w:rsidRPr="00F041AD">
        <w:rPr>
          <w:color w:val="333333" w:themeColor="background1"/>
        </w:rPr>
        <w:t>Transportation</w:t>
      </w:r>
      <w:bookmarkEnd w:id="293"/>
      <w:bookmarkEnd w:id="294"/>
      <w:bookmarkEnd w:id="295"/>
      <w:bookmarkEnd w:id="296"/>
    </w:p>
    <w:p w14:paraId="29093DF7" w14:textId="77777777" w:rsidR="00B65A50" w:rsidRPr="00F041AD" w:rsidRDefault="00B65A50" w:rsidP="00B95D21">
      <w:pPr>
        <w:pStyle w:val="5BodyText"/>
        <w:numPr>
          <w:ilvl w:val="0"/>
          <w:numId w:val="138"/>
        </w:numPr>
        <w:rPr>
          <w:b/>
          <w:color w:val="333333" w:themeColor="background1"/>
        </w:rPr>
      </w:pPr>
      <w:r w:rsidRPr="00F041AD">
        <w:rPr>
          <w:b/>
          <w:color w:val="333333" w:themeColor="background1"/>
        </w:rPr>
        <w:t>Autonomous electric vehicles</w:t>
      </w:r>
      <w:r w:rsidRPr="00F041AD">
        <w:rPr>
          <w:color w:val="333333" w:themeColor="background1"/>
        </w:rPr>
        <w:t xml:space="preserve"> were identified by stakeholders as a mid-term opportunity to reduce costs and emissions associated with personal transportation. These vehicles, already being piloted by leading companies (e.g. Google, Tesla), would in many cases have high annual mileage, allowing for significant emissions reductions for each car on the road and lower per-mile costs of travel. This strategy lacks a clear champion and timeline for implementation in Minnesota, and thus was not included in the report.</w:t>
      </w:r>
      <w:r w:rsidRPr="00F041AD">
        <w:rPr>
          <w:b/>
          <w:color w:val="333333" w:themeColor="background1"/>
        </w:rPr>
        <w:br/>
      </w:r>
    </w:p>
    <w:p w14:paraId="629AF9D4" w14:textId="77777777" w:rsidR="00B65A50" w:rsidRPr="00F041AD" w:rsidRDefault="00B65A50" w:rsidP="00B95D21">
      <w:pPr>
        <w:pStyle w:val="5BodyText"/>
        <w:numPr>
          <w:ilvl w:val="0"/>
          <w:numId w:val="138"/>
        </w:numPr>
        <w:rPr>
          <w:color w:val="333333" w:themeColor="background1"/>
        </w:rPr>
      </w:pPr>
      <w:r w:rsidRPr="00F041AD">
        <w:rPr>
          <w:b/>
          <w:color w:val="333333" w:themeColor="background1"/>
        </w:rPr>
        <w:t>Vehicle miles traveled (VMT)-based insurance pricing and taxation</w:t>
      </w:r>
      <w:r w:rsidRPr="00F041AD">
        <w:rPr>
          <w:color w:val="333333" w:themeColor="background1"/>
        </w:rPr>
        <w:t xml:space="preserve"> was discussed in stakeholder meetings as one approach to limit emissions from transportation and improve congestion. In addition, as vehicles become more efficient and/or increasingly run on electricity or other alternative fuels, the revenue from gasoline and diesel sales tax diminishes, leading to a gap in budget for state agencies that maintain roads. VMT-based pricing would help address these issues; however, this strategy lacks a near-term timeline in Minnesota.</w:t>
      </w:r>
    </w:p>
    <w:p w14:paraId="6E6F36B2" w14:textId="77777777" w:rsidR="00B65A50" w:rsidRPr="00F041AD" w:rsidRDefault="00B65A50" w:rsidP="00B95D21">
      <w:pPr>
        <w:pStyle w:val="5BodyText"/>
        <w:rPr>
          <w:color w:val="333333" w:themeColor="background1"/>
        </w:rPr>
      </w:pPr>
      <w:bookmarkStart w:id="297" w:name="_Toc318126197"/>
      <w:bookmarkStart w:id="298" w:name="_Toc319700164"/>
      <w:bookmarkStart w:id="299" w:name="_Toc319794300"/>
    </w:p>
    <w:p w14:paraId="3B922E18" w14:textId="77777777" w:rsidR="00B65A50" w:rsidRPr="00F041AD" w:rsidRDefault="00B65A50" w:rsidP="007F3F44">
      <w:pPr>
        <w:pStyle w:val="6BodyHighlight"/>
        <w:rPr>
          <w:color w:val="333333" w:themeColor="background1"/>
        </w:rPr>
      </w:pPr>
      <w:bookmarkStart w:id="300" w:name="_Toc322961664"/>
      <w:r w:rsidRPr="00F041AD">
        <w:rPr>
          <w:color w:val="333333" w:themeColor="background1"/>
        </w:rPr>
        <w:t>Energy supply &amp; grid modernization</w:t>
      </w:r>
      <w:bookmarkEnd w:id="297"/>
      <w:bookmarkEnd w:id="298"/>
      <w:bookmarkEnd w:id="299"/>
      <w:bookmarkEnd w:id="300"/>
    </w:p>
    <w:p w14:paraId="71FF2A0E" w14:textId="77777777" w:rsidR="00B95D21" w:rsidRPr="00F041AD" w:rsidRDefault="00B65A50" w:rsidP="00B95D21">
      <w:pPr>
        <w:pStyle w:val="5BodyText"/>
        <w:numPr>
          <w:ilvl w:val="0"/>
          <w:numId w:val="139"/>
        </w:numPr>
        <w:rPr>
          <w:b/>
          <w:color w:val="333333" w:themeColor="background1"/>
        </w:rPr>
      </w:pPr>
      <w:r w:rsidRPr="00F041AD">
        <w:rPr>
          <w:b/>
          <w:color w:val="333333" w:themeColor="background1"/>
        </w:rPr>
        <w:t xml:space="preserve">An expanded Renewable Portfolio Standard (RPS) </w:t>
      </w:r>
      <w:r w:rsidRPr="00F041AD">
        <w:rPr>
          <w:color w:val="333333" w:themeColor="background1"/>
        </w:rPr>
        <w:t>was suggested by stakeholders as a lever to increase the amount of renewable energy on the grid. Studies have shown that a higher RPS is technically feasible for the Minnesota electricity system.</w:t>
      </w:r>
      <w:r w:rsidRPr="00F041AD">
        <w:rPr>
          <w:rStyle w:val="EndnoteReference"/>
          <w:color w:val="333333" w:themeColor="background1"/>
        </w:rPr>
        <w:endnoteReference w:id="324"/>
      </w:r>
      <w:r w:rsidRPr="00F041AD">
        <w:rPr>
          <w:color w:val="333333" w:themeColor="background1"/>
        </w:rPr>
        <w:t xml:space="preserve"> </w:t>
      </w:r>
      <w:r w:rsidR="00B95D21" w:rsidRPr="00F041AD">
        <w:rPr>
          <w:color w:val="333333" w:themeColor="background1"/>
        </w:rPr>
        <w:t>This strategy would rely solely on legislative action, however, and was thus not included in this report.</w:t>
      </w:r>
      <w:r w:rsidR="00B95D21" w:rsidRPr="00F041AD">
        <w:rPr>
          <w:color w:val="333333" w:themeColor="background1"/>
        </w:rPr>
        <w:br/>
      </w:r>
    </w:p>
    <w:p w14:paraId="64FD4508" w14:textId="77777777" w:rsidR="00B95D21" w:rsidRPr="00F041AD" w:rsidRDefault="00B95D21" w:rsidP="00B95D21">
      <w:pPr>
        <w:pStyle w:val="5BodyText"/>
        <w:numPr>
          <w:ilvl w:val="0"/>
          <w:numId w:val="139"/>
        </w:numPr>
        <w:rPr>
          <w:b/>
          <w:color w:val="333333" w:themeColor="background1"/>
        </w:rPr>
      </w:pPr>
      <w:r w:rsidRPr="00F041AD">
        <w:rPr>
          <w:b/>
          <w:color w:val="333333" w:themeColor="background1"/>
        </w:rPr>
        <w:t>Expanded incentives for distributed energy resources (DERs)</w:t>
      </w:r>
      <w:r w:rsidRPr="00F041AD">
        <w:rPr>
          <w:color w:val="333333" w:themeColor="background1"/>
        </w:rPr>
        <w:t xml:space="preserve"> were discussed at several stakeholder meetings. These resources, including solar PV systems, will be an important part of the future energy mix, and are growing in popularity in Minnesota. Given the ongoing activity in Minnesota surrounding these resources, the project team did not focus on synthesizing an additional strategy from the stakeholder suggestions in this report.</w:t>
      </w:r>
    </w:p>
    <w:p w14:paraId="634E3E1D" w14:textId="77777777" w:rsidR="00B95D21" w:rsidRPr="00F041AD" w:rsidRDefault="00B95D21" w:rsidP="00B95D21">
      <w:pPr>
        <w:pStyle w:val="5BodyText"/>
        <w:ind w:left="360"/>
        <w:rPr>
          <w:color w:val="333333" w:themeColor="background1"/>
        </w:rPr>
      </w:pPr>
      <w:bookmarkStart w:id="301" w:name="_Toc318126198"/>
      <w:bookmarkStart w:id="302" w:name="_Toc319700165"/>
      <w:bookmarkStart w:id="303" w:name="_Toc319794301"/>
    </w:p>
    <w:p w14:paraId="4BB1C230" w14:textId="77777777" w:rsidR="00B95D21" w:rsidRPr="00F041AD" w:rsidRDefault="00B95D21" w:rsidP="007F3F44">
      <w:pPr>
        <w:pStyle w:val="6BodyHighlight"/>
        <w:rPr>
          <w:color w:val="333333" w:themeColor="background1"/>
        </w:rPr>
      </w:pPr>
      <w:bookmarkStart w:id="304" w:name="_Toc322961665"/>
      <w:r w:rsidRPr="00F041AD">
        <w:rPr>
          <w:color w:val="333333" w:themeColor="background1"/>
        </w:rPr>
        <w:lastRenderedPageBreak/>
        <w:t xml:space="preserve">Efficient buildings and </w:t>
      </w:r>
      <w:bookmarkEnd w:id="301"/>
      <w:bookmarkEnd w:id="302"/>
      <w:r w:rsidRPr="00F041AD">
        <w:rPr>
          <w:color w:val="333333" w:themeColor="background1"/>
        </w:rPr>
        <w:t>integrated energy systems</w:t>
      </w:r>
      <w:bookmarkEnd w:id="304"/>
      <w:r w:rsidRPr="00F041AD">
        <w:rPr>
          <w:color w:val="333333" w:themeColor="background1"/>
        </w:rPr>
        <w:t xml:space="preserve"> </w:t>
      </w:r>
      <w:bookmarkEnd w:id="303"/>
    </w:p>
    <w:p w14:paraId="7D739B9A" w14:textId="77777777" w:rsidR="00B95D21" w:rsidRPr="00F041AD" w:rsidRDefault="00B95D21" w:rsidP="00B95D21">
      <w:pPr>
        <w:pStyle w:val="5BodyText"/>
        <w:numPr>
          <w:ilvl w:val="0"/>
          <w:numId w:val="139"/>
        </w:numPr>
        <w:rPr>
          <w:b/>
          <w:color w:val="333333" w:themeColor="background1"/>
        </w:rPr>
      </w:pPr>
      <w:r w:rsidRPr="00F041AD">
        <w:rPr>
          <w:b/>
          <w:color w:val="333333" w:themeColor="background1"/>
        </w:rPr>
        <w:t xml:space="preserve">Geothermal energy </w:t>
      </w:r>
      <w:r w:rsidRPr="00F041AD">
        <w:rPr>
          <w:color w:val="333333" w:themeColor="background1"/>
        </w:rPr>
        <w:t>may be an important energy resource for Minnesota, including ground-source heat pumps to more efficiently provide thermal energy to buildings. However, stakeholders did not identify a specific near-term opportunity for the Energy Action Plan to highlight to advance this resource further.</w:t>
      </w:r>
      <w:r w:rsidRPr="00F041AD">
        <w:rPr>
          <w:b/>
          <w:color w:val="333333" w:themeColor="background1"/>
        </w:rPr>
        <w:br/>
      </w:r>
    </w:p>
    <w:p w14:paraId="57255FED" w14:textId="77777777" w:rsidR="00B95D21" w:rsidRPr="00F041AD" w:rsidRDefault="00B95D21" w:rsidP="00B95D21">
      <w:pPr>
        <w:pStyle w:val="5BodyText"/>
        <w:numPr>
          <w:ilvl w:val="0"/>
          <w:numId w:val="139"/>
        </w:numPr>
        <w:rPr>
          <w:b/>
          <w:color w:val="333333" w:themeColor="background1"/>
        </w:rPr>
      </w:pPr>
      <w:bookmarkStart w:id="305" w:name="_Toc318126199"/>
      <w:r w:rsidRPr="00F041AD">
        <w:rPr>
          <w:b/>
          <w:color w:val="333333" w:themeColor="background1"/>
        </w:rPr>
        <w:t xml:space="preserve">Distributed generation </w:t>
      </w:r>
      <w:r w:rsidRPr="00F041AD">
        <w:rPr>
          <w:color w:val="333333" w:themeColor="background1"/>
        </w:rPr>
        <w:t>at building sites is a key part of the low-energy building standard (Strategy 3A) discussed in this document, and stakeholders discussed several other strategies to advance distributed generation in the state. However, similar to the proposed DER strategy in the Energy Supply and Grid Modernization section above, no specific action was suggested that was additive to existing activities and met the criteria for strategy selection.</w:t>
      </w:r>
    </w:p>
    <w:p w14:paraId="4FDDE009" w14:textId="77777777" w:rsidR="00B95D21" w:rsidRPr="00F041AD" w:rsidRDefault="00B95D21" w:rsidP="00B95D21">
      <w:pPr>
        <w:pStyle w:val="5BodyText"/>
        <w:rPr>
          <w:rFonts w:eastAsia="Calibri" w:cs="Calibri"/>
          <w:b/>
          <w:color w:val="333333" w:themeColor="background1"/>
          <w:sz w:val="32"/>
          <w:szCs w:val="32"/>
        </w:rPr>
      </w:pPr>
      <w:bookmarkStart w:id="306" w:name="_Toc318126201"/>
      <w:bookmarkStart w:id="307" w:name="_Toc319700168"/>
      <w:bookmarkStart w:id="308" w:name="_Toc319794302"/>
      <w:bookmarkEnd w:id="305"/>
      <w:r w:rsidRPr="00F041AD">
        <w:rPr>
          <w:color w:val="333333" w:themeColor="background1"/>
        </w:rPr>
        <w:br w:type="page"/>
      </w:r>
    </w:p>
    <w:p w14:paraId="0DE8AA6A" w14:textId="7FCE2AD1" w:rsidR="00B95D21" w:rsidRPr="00F041AD" w:rsidRDefault="00B95D21" w:rsidP="00875F55">
      <w:pPr>
        <w:pStyle w:val="3SectionTitle"/>
        <w:rPr>
          <w:color w:val="333333" w:themeColor="background1"/>
          <w:highlight w:val="yellow"/>
        </w:rPr>
      </w:pPr>
      <w:bookmarkStart w:id="309" w:name="_Toc322933808"/>
      <w:bookmarkStart w:id="310" w:name="_Toc322961666"/>
      <w:bookmarkStart w:id="311" w:name="_Toc322962059"/>
      <w:bookmarkStart w:id="312" w:name="_Toc322962246"/>
      <w:r w:rsidRPr="00F041AD">
        <w:rPr>
          <w:color w:val="333333" w:themeColor="background1"/>
        </w:rPr>
        <w:lastRenderedPageBreak/>
        <w:t>6. Conclusions</w:t>
      </w:r>
      <w:bookmarkEnd w:id="306"/>
      <w:bookmarkEnd w:id="307"/>
      <w:bookmarkEnd w:id="308"/>
      <w:bookmarkEnd w:id="309"/>
      <w:bookmarkEnd w:id="310"/>
      <w:bookmarkEnd w:id="311"/>
      <w:bookmarkEnd w:id="312"/>
    </w:p>
    <w:p w14:paraId="31DE62A0" w14:textId="77777777" w:rsidR="00B95D21" w:rsidRPr="00F041AD" w:rsidRDefault="00B95D21" w:rsidP="00B95D21">
      <w:pPr>
        <w:pStyle w:val="5BodyText"/>
        <w:rPr>
          <w:color w:val="333333" w:themeColor="background1"/>
        </w:rPr>
      </w:pPr>
      <w:r w:rsidRPr="00F041AD">
        <w:rPr>
          <w:color w:val="333333" w:themeColor="background1"/>
        </w:rPr>
        <w:t>The Minnesota 2025 Energy Action Plan describes the current energy system in the state of Minnesota, and highlights progress that the state has made towards its current goals. The report has also highlights 22 strategies to capture the large opportunities to make further progress towards existing goals and further advance clean energy, economic growth, and leadership in the state.</w:t>
      </w:r>
    </w:p>
    <w:p w14:paraId="3B7A5DDB" w14:textId="77777777" w:rsidR="00B95D21" w:rsidRPr="00F041AD" w:rsidRDefault="00B95D21" w:rsidP="00B95D21">
      <w:pPr>
        <w:pStyle w:val="5BodyText"/>
        <w:rPr>
          <w:color w:val="333333" w:themeColor="background1"/>
        </w:rPr>
      </w:pPr>
    </w:p>
    <w:p w14:paraId="606F6A35" w14:textId="77777777" w:rsidR="00B95D21" w:rsidRPr="00F041AD" w:rsidRDefault="00B95D21" w:rsidP="00B95D21">
      <w:pPr>
        <w:pStyle w:val="5BodyText"/>
        <w:rPr>
          <w:color w:val="333333" w:themeColor="background1"/>
        </w:rPr>
      </w:pPr>
      <w:r w:rsidRPr="00F041AD">
        <w:rPr>
          <w:color w:val="333333" w:themeColor="background1"/>
        </w:rPr>
        <w:t>The strategies described in this report are the result of extensive stakeholder discussions aimed at identifying near-term opportunities to help reach clean energy and economic goals in Minnesota. These opportunities represent actionable first steps towards reaching a clean, affordable, reliable, and resilient energy future for the state. Each opportunity has a natural champion that is already taking steps to move towards this outcome in Minnesota.</w:t>
      </w:r>
    </w:p>
    <w:p w14:paraId="2D4A5051" w14:textId="77777777" w:rsidR="00B95D21" w:rsidRPr="00F041AD" w:rsidRDefault="00B95D21" w:rsidP="00B95D21">
      <w:pPr>
        <w:pStyle w:val="5BodyText"/>
        <w:rPr>
          <w:color w:val="333333" w:themeColor="background1"/>
        </w:rPr>
      </w:pPr>
    </w:p>
    <w:p w14:paraId="16F7FDD5" w14:textId="77777777" w:rsidR="00B95D21" w:rsidRPr="00F041AD" w:rsidRDefault="00B95D21" w:rsidP="00B95D21">
      <w:pPr>
        <w:pStyle w:val="5BodyText"/>
        <w:rPr>
          <w:color w:val="333333" w:themeColor="background1"/>
        </w:rPr>
      </w:pPr>
      <w:r w:rsidRPr="00F041AD">
        <w:rPr>
          <w:color w:val="333333" w:themeColor="background1"/>
        </w:rPr>
        <w:t>Importantly, these opportunities are highly interrelated. Actions in the electricity, transportation, buildings, industrial, and agricultural sectors all have important relationships. In addition, local governments and tribal nations have a key role to play in driving and executing community-level action to make progress in each of those sectors. This report identifies where these cross-sector opportunities may be most important, in order to let stakeholders focused on one particular opportunity understand how their actions may influence or depend on the actions of others.</w:t>
      </w:r>
    </w:p>
    <w:p w14:paraId="42D19604" w14:textId="77777777" w:rsidR="00B95D21" w:rsidRPr="00F041AD" w:rsidRDefault="00B95D21" w:rsidP="00B95D21">
      <w:pPr>
        <w:pStyle w:val="5BodyText"/>
        <w:rPr>
          <w:color w:val="333333" w:themeColor="background1"/>
        </w:rPr>
      </w:pPr>
    </w:p>
    <w:p w14:paraId="7D74F5C9" w14:textId="77777777" w:rsidR="00B95D21" w:rsidRPr="00F041AD" w:rsidRDefault="00B95D21" w:rsidP="00B95D21">
      <w:pPr>
        <w:pStyle w:val="5BodyText"/>
        <w:rPr>
          <w:color w:val="333333" w:themeColor="background1"/>
        </w:rPr>
      </w:pPr>
      <w:r w:rsidRPr="00F041AD">
        <w:rPr>
          <w:color w:val="333333" w:themeColor="background1"/>
        </w:rPr>
        <w:t>As state- and national-level clean energy trends accelerate, Minnesota can take action immediately to take advantage of its existing clean energy progress and leadership, leverage locally-sourced renewable natural resources, and drive growth in an increasingly important sector of the state economy. The stakeholder recommendations in this document can serve as a guide to taking the first steps towards capturing this value.</w:t>
      </w:r>
    </w:p>
    <w:p w14:paraId="4480D7DC" w14:textId="77777777" w:rsidR="00F62DBD" w:rsidRDefault="00F62DBD" w:rsidP="00B95D21">
      <w:pPr>
        <w:pStyle w:val="5BodyText"/>
        <w:rPr>
          <w:color w:val="333333" w:themeColor="background1"/>
        </w:rPr>
        <w:sectPr w:rsidR="00F62DBD" w:rsidSect="00564DC9">
          <w:headerReference w:type="even" r:id="rId272"/>
          <w:headerReference w:type="default" r:id="rId273"/>
          <w:footerReference w:type="even" r:id="rId274"/>
          <w:footerReference w:type="default" r:id="rId275"/>
          <w:headerReference w:type="first" r:id="rId276"/>
          <w:endnotePr>
            <w:numFmt w:val="decimal"/>
          </w:endnotePr>
          <w:pgSz w:w="12240" w:h="15840"/>
          <w:pgMar w:top="1627" w:right="1080" w:bottom="1440" w:left="1080" w:header="720" w:footer="278" w:gutter="0"/>
          <w:cols w:space="720"/>
          <w:titlePg/>
        </w:sectPr>
      </w:pPr>
      <w:bookmarkStart w:id="313" w:name="_Toc319794303"/>
    </w:p>
    <w:p w14:paraId="0340315B" w14:textId="77777777" w:rsidR="00B95D21" w:rsidRPr="00F041AD" w:rsidRDefault="00B95D21" w:rsidP="00875F55">
      <w:pPr>
        <w:pStyle w:val="3SectionTitle"/>
        <w:rPr>
          <w:color w:val="333333" w:themeColor="background1"/>
        </w:rPr>
      </w:pPr>
      <w:bookmarkStart w:id="314" w:name="_Toc322933809"/>
      <w:bookmarkStart w:id="315" w:name="_Toc322961667"/>
      <w:bookmarkStart w:id="316" w:name="_Toc322962060"/>
      <w:bookmarkStart w:id="317" w:name="_Toc322962247"/>
      <w:r w:rsidRPr="00F041AD">
        <w:rPr>
          <w:color w:val="333333" w:themeColor="background1"/>
        </w:rPr>
        <w:lastRenderedPageBreak/>
        <w:t>Appendix A</w:t>
      </w:r>
      <w:bookmarkEnd w:id="313"/>
      <w:bookmarkEnd w:id="314"/>
      <w:bookmarkEnd w:id="315"/>
      <w:bookmarkEnd w:id="316"/>
      <w:bookmarkEnd w:id="317"/>
    </w:p>
    <w:p w14:paraId="50B215F9" w14:textId="77777777" w:rsidR="00B95D21" w:rsidRPr="00F041AD" w:rsidRDefault="00B95D21" w:rsidP="00B95D21">
      <w:pPr>
        <w:pStyle w:val="5BodyText"/>
        <w:rPr>
          <w:rFonts w:cs="Times New Roman"/>
          <w:color w:val="333333" w:themeColor="background1"/>
          <w:sz w:val="26"/>
          <w:szCs w:val="26"/>
        </w:rPr>
      </w:pPr>
    </w:p>
    <w:p w14:paraId="5B01C7DA" w14:textId="77777777" w:rsidR="00B95D21" w:rsidRPr="00F041AD" w:rsidRDefault="00B95D21" w:rsidP="00B95D21">
      <w:pPr>
        <w:pStyle w:val="5BodyText"/>
        <w:rPr>
          <w:color w:val="333333" w:themeColor="background1"/>
        </w:rPr>
      </w:pPr>
      <w:r w:rsidRPr="00F041AD">
        <w:rPr>
          <w:color w:val="333333" w:themeColor="background1"/>
        </w:rPr>
        <w:t>2025 Energy Action Plan Project: Stakeholder Advisory Committee Members</w:t>
      </w:r>
    </w:p>
    <w:p w14:paraId="6E5CD13B" w14:textId="77777777" w:rsidR="00B95D21" w:rsidRPr="00F041AD" w:rsidRDefault="00B95D21" w:rsidP="00B95D21">
      <w:pPr>
        <w:pStyle w:val="5BodyText"/>
        <w:rPr>
          <w:color w:val="333333" w:themeColor="background1"/>
        </w:rPr>
      </w:pPr>
    </w:p>
    <w:p w14:paraId="79D3B8DE" w14:textId="77777777" w:rsidR="00B95D21" w:rsidRPr="00F041AD" w:rsidRDefault="00B95D21" w:rsidP="00B95D21">
      <w:pPr>
        <w:pStyle w:val="5BodyText"/>
        <w:rPr>
          <w:color w:val="333333" w:themeColor="background1"/>
        </w:rPr>
      </w:pPr>
      <w:proofErr w:type="spellStart"/>
      <w:r w:rsidRPr="00F041AD">
        <w:rPr>
          <w:color w:val="333333" w:themeColor="background1"/>
        </w:rPr>
        <w:t>Massoud</w:t>
      </w:r>
      <w:proofErr w:type="spellEnd"/>
      <w:r w:rsidRPr="00F041AD">
        <w:rPr>
          <w:color w:val="333333" w:themeColor="background1"/>
        </w:rPr>
        <w:t xml:space="preserve"> Amin, Technological Leadership Institute, University of Minnesota</w:t>
      </w:r>
    </w:p>
    <w:p w14:paraId="4A682757" w14:textId="77777777" w:rsidR="00B95D21" w:rsidRPr="00F041AD" w:rsidRDefault="00B95D21" w:rsidP="00B95D21">
      <w:pPr>
        <w:pStyle w:val="5BodyText"/>
        <w:rPr>
          <w:color w:val="333333" w:themeColor="background1"/>
        </w:rPr>
      </w:pPr>
      <w:r w:rsidRPr="00F041AD">
        <w:rPr>
          <w:color w:val="333333" w:themeColor="background1"/>
        </w:rPr>
        <w:t>Jeffrey Beale, Honeywell</w:t>
      </w:r>
    </w:p>
    <w:p w14:paraId="18BA16D7" w14:textId="77777777" w:rsidR="00B95D21" w:rsidRPr="00F041AD" w:rsidRDefault="00B95D21" w:rsidP="00B95D21">
      <w:pPr>
        <w:pStyle w:val="5BodyText"/>
        <w:rPr>
          <w:color w:val="333333" w:themeColor="background1"/>
        </w:rPr>
      </w:pPr>
      <w:r w:rsidRPr="00F041AD">
        <w:rPr>
          <w:color w:val="333333" w:themeColor="background1"/>
        </w:rPr>
        <w:t xml:space="preserve">Sheri </w:t>
      </w:r>
      <w:proofErr w:type="spellStart"/>
      <w:r w:rsidRPr="00F041AD">
        <w:rPr>
          <w:color w:val="333333" w:themeColor="background1"/>
        </w:rPr>
        <w:t>Brezinka</w:t>
      </w:r>
      <w:proofErr w:type="spellEnd"/>
      <w:r w:rsidRPr="00F041AD">
        <w:rPr>
          <w:color w:val="333333" w:themeColor="background1"/>
        </w:rPr>
        <w:t>, US Green Building Council, Minnesota Chapter</w:t>
      </w:r>
    </w:p>
    <w:p w14:paraId="360AEE9A" w14:textId="77777777" w:rsidR="00B95D21" w:rsidRPr="00F041AD" w:rsidRDefault="00B95D21" w:rsidP="00B95D21">
      <w:pPr>
        <w:pStyle w:val="5BodyText"/>
        <w:rPr>
          <w:color w:val="333333" w:themeColor="background1"/>
        </w:rPr>
      </w:pPr>
      <w:r w:rsidRPr="00F041AD">
        <w:rPr>
          <w:color w:val="333333" w:themeColor="background1"/>
        </w:rPr>
        <w:t xml:space="preserve">Dave </w:t>
      </w:r>
      <w:proofErr w:type="spellStart"/>
      <w:r w:rsidRPr="00F041AD">
        <w:rPr>
          <w:color w:val="333333" w:themeColor="background1"/>
        </w:rPr>
        <w:t>Chura</w:t>
      </w:r>
      <w:proofErr w:type="spellEnd"/>
      <w:r w:rsidRPr="00F041AD">
        <w:rPr>
          <w:color w:val="333333" w:themeColor="background1"/>
        </w:rPr>
        <w:t>, Minnesota Power</w:t>
      </w:r>
    </w:p>
    <w:p w14:paraId="5C706222" w14:textId="77777777" w:rsidR="00B95D21" w:rsidRPr="00F041AD" w:rsidRDefault="00B95D21" w:rsidP="00B95D21">
      <w:pPr>
        <w:pStyle w:val="5BodyText"/>
        <w:rPr>
          <w:color w:val="333333" w:themeColor="background1"/>
        </w:rPr>
      </w:pPr>
      <w:r w:rsidRPr="00F041AD">
        <w:rPr>
          <w:color w:val="333333" w:themeColor="background1"/>
        </w:rPr>
        <w:t xml:space="preserve">Joe </w:t>
      </w:r>
      <w:proofErr w:type="spellStart"/>
      <w:r w:rsidRPr="00F041AD">
        <w:rPr>
          <w:color w:val="333333" w:themeColor="background1"/>
        </w:rPr>
        <w:t>Drapeau</w:t>
      </w:r>
      <w:proofErr w:type="spellEnd"/>
      <w:r w:rsidRPr="00F041AD">
        <w:rPr>
          <w:color w:val="333333" w:themeColor="background1"/>
        </w:rPr>
        <w:t>, New Flyer</w:t>
      </w:r>
    </w:p>
    <w:p w14:paraId="5E71AA89" w14:textId="77777777" w:rsidR="00B95D21" w:rsidRPr="00F041AD" w:rsidRDefault="00B95D21" w:rsidP="00B95D21">
      <w:pPr>
        <w:pStyle w:val="5BodyText"/>
        <w:rPr>
          <w:color w:val="333333" w:themeColor="background1"/>
        </w:rPr>
      </w:pPr>
      <w:r w:rsidRPr="00F041AD">
        <w:rPr>
          <w:color w:val="333333" w:themeColor="background1"/>
        </w:rPr>
        <w:t>Wayne Dupuis, Fond du Lac Reservation</w:t>
      </w:r>
    </w:p>
    <w:p w14:paraId="49A83118" w14:textId="77777777" w:rsidR="00B95D21" w:rsidRPr="00F041AD" w:rsidRDefault="00B95D21" w:rsidP="00B95D21">
      <w:pPr>
        <w:pStyle w:val="5BodyText"/>
        <w:rPr>
          <w:color w:val="333333" w:themeColor="background1"/>
        </w:rPr>
      </w:pPr>
      <w:r w:rsidRPr="00F041AD">
        <w:rPr>
          <w:color w:val="333333" w:themeColor="background1"/>
        </w:rPr>
        <w:t xml:space="preserve">Jason </w:t>
      </w:r>
      <w:proofErr w:type="spellStart"/>
      <w:r w:rsidRPr="00F041AD">
        <w:rPr>
          <w:color w:val="333333" w:themeColor="background1"/>
        </w:rPr>
        <w:t>Edens</w:t>
      </w:r>
      <w:proofErr w:type="spellEnd"/>
      <w:r w:rsidRPr="00F041AD">
        <w:rPr>
          <w:color w:val="333333" w:themeColor="background1"/>
        </w:rPr>
        <w:t>, Rural Renewable Energy Alliance</w:t>
      </w:r>
    </w:p>
    <w:p w14:paraId="54705210" w14:textId="77777777" w:rsidR="00B95D21" w:rsidRPr="00F041AD" w:rsidRDefault="00B95D21" w:rsidP="00B95D21">
      <w:pPr>
        <w:pStyle w:val="5BodyText"/>
        <w:rPr>
          <w:color w:val="333333" w:themeColor="background1"/>
        </w:rPr>
      </w:pPr>
      <w:r w:rsidRPr="00F041AD">
        <w:rPr>
          <w:color w:val="333333" w:themeColor="background1"/>
        </w:rPr>
        <w:t>Jenny Edwards, Center for Energy and the Environment</w:t>
      </w:r>
    </w:p>
    <w:p w14:paraId="740922AD" w14:textId="77777777" w:rsidR="00B95D21" w:rsidRPr="00F041AD" w:rsidRDefault="00B95D21" w:rsidP="00B95D21">
      <w:pPr>
        <w:pStyle w:val="5BodyText"/>
        <w:rPr>
          <w:color w:val="333333" w:themeColor="background1"/>
        </w:rPr>
      </w:pPr>
      <w:r w:rsidRPr="00F041AD">
        <w:rPr>
          <w:color w:val="333333" w:themeColor="background1"/>
        </w:rPr>
        <w:t xml:space="preserve">Katie </w:t>
      </w:r>
      <w:proofErr w:type="spellStart"/>
      <w:r w:rsidRPr="00F041AD">
        <w:rPr>
          <w:color w:val="333333" w:themeColor="background1"/>
        </w:rPr>
        <w:t>Fernholz</w:t>
      </w:r>
      <w:proofErr w:type="spellEnd"/>
      <w:r w:rsidRPr="00F041AD">
        <w:rPr>
          <w:color w:val="333333" w:themeColor="background1"/>
        </w:rPr>
        <w:t>, Dovetail Partners</w:t>
      </w:r>
    </w:p>
    <w:p w14:paraId="1D843226" w14:textId="77777777" w:rsidR="00B95D21" w:rsidRPr="00F041AD" w:rsidRDefault="00B95D21" w:rsidP="00B95D21">
      <w:pPr>
        <w:pStyle w:val="5BodyText"/>
        <w:rPr>
          <w:color w:val="333333" w:themeColor="background1"/>
        </w:rPr>
      </w:pPr>
      <w:r w:rsidRPr="00F041AD">
        <w:rPr>
          <w:color w:val="333333" w:themeColor="background1"/>
        </w:rPr>
        <w:t>Ken Geisler, Siemens</w:t>
      </w:r>
    </w:p>
    <w:p w14:paraId="73849379" w14:textId="77777777" w:rsidR="00B95D21" w:rsidRPr="00F041AD" w:rsidRDefault="00B95D21" w:rsidP="00B95D21">
      <w:pPr>
        <w:pStyle w:val="5BodyText"/>
        <w:rPr>
          <w:color w:val="333333" w:themeColor="background1"/>
        </w:rPr>
      </w:pPr>
      <w:r w:rsidRPr="00F041AD">
        <w:rPr>
          <w:color w:val="333333" w:themeColor="background1"/>
        </w:rPr>
        <w:t>Ben Gerber, Minnesota Chamber of Commerce</w:t>
      </w:r>
    </w:p>
    <w:p w14:paraId="401A8796" w14:textId="77777777" w:rsidR="00B95D21" w:rsidRPr="00F041AD" w:rsidRDefault="00B95D21" w:rsidP="00B95D21">
      <w:pPr>
        <w:pStyle w:val="5BodyText"/>
        <w:rPr>
          <w:color w:val="333333" w:themeColor="background1"/>
        </w:rPr>
      </w:pPr>
      <w:r w:rsidRPr="00F041AD">
        <w:rPr>
          <w:color w:val="333333" w:themeColor="background1"/>
        </w:rPr>
        <w:t>Richard Graves, Center for Sustainable Building Research</w:t>
      </w:r>
    </w:p>
    <w:p w14:paraId="54D05E6E" w14:textId="77777777" w:rsidR="00B95D21" w:rsidRPr="00F041AD" w:rsidRDefault="00B95D21" w:rsidP="00B95D21">
      <w:pPr>
        <w:pStyle w:val="5BodyText"/>
        <w:rPr>
          <w:color w:val="333333" w:themeColor="background1"/>
        </w:rPr>
      </w:pPr>
      <w:r w:rsidRPr="00F041AD">
        <w:rPr>
          <w:color w:val="333333" w:themeColor="background1"/>
        </w:rPr>
        <w:t xml:space="preserve">Katie Gulley, </w:t>
      </w:r>
      <w:proofErr w:type="spellStart"/>
      <w:r w:rsidRPr="00F041AD">
        <w:rPr>
          <w:color w:val="333333" w:themeColor="background1"/>
        </w:rPr>
        <w:t>BlueGreen</w:t>
      </w:r>
      <w:proofErr w:type="spellEnd"/>
      <w:r w:rsidRPr="00F041AD">
        <w:rPr>
          <w:color w:val="333333" w:themeColor="background1"/>
        </w:rPr>
        <w:t xml:space="preserve"> Alliance</w:t>
      </w:r>
    </w:p>
    <w:p w14:paraId="58C3931A" w14:textId="77777777" w:rsidR="00B95D21" w:rsidRPr="00F041AD" w:rsidRDefault="00B95D21" w:rsidP="00B95D21">
      <w:pPr>
        <w:pStyle w:val="5BodyText"/>
        <w:rPr>
          <w:color w:val="333333" w:themeColor="background1"/>
        </w:rPr>
      </w:pPr>
      <w:r w:rsidRPr="00F041AD">
        <w:rPr>
          <w:color w:val="333333" w:themeColor="background1"/>
        </w:rPr>
        <w:t>Jeff Haase, Great River Energy</w:t>
      </w:r>
    </w:p>
    <w:p w14:paraId="61EF30EC" w14:textId="77777777" w:rsidR="00B95D21" w:rsidRPr="00F041AD" w:rsidRDefault="00B95D21" w:rsidP="00B95D21">
      <w:pPr>
        <w:pStyle w:val="5BodyText"/>
        <w:rPr>
          <w:color w:val="333333" w:themeColor="background1"/>
        </w:rPr>
      </w:pPr>
      <w:r w:rsidRPr="00F041AD">
        <w:rPr>
          <w:color w:val="333333" w:themeColor="background1"/>
        </w:rPr>
        <w:t>Zack Hansen, Ramsey County</w:t>
      </w:r>
    </w:p>
    <w:p w14:paraId="3034BDD4" w14:textId="77777777" w:rsidR="00B95D21" w:rsidRPr="00F041AD" w:rsidRDefault="00B95D21" w:rsidP="00B95D21">
      <w:pPr>
        <w:pStyle w:val="5BodyText"/>
        <w:rPr>
          <w:color w:val="333333" w:themeColor="background1"/>
        </w:rPr>
      </w:pPr>
      <w:r w:rsidRPr="00F041AD">
        <w:rPr>
          <w:color w:val="333333" w:themeColor="background1"/>
        </w:rPr>
        <w:t xml:space="preserve">Jen </w:t>
      </w:r>
      <w:proofErr w:type="spellStart"/>
      <w:r w:rsidRPr="00F041AD">
        <w:rPr>
          <w:color w:val="333333" w:themeColor="background1"/>
        </w:rPr>
        <w:t>Hassebroek</w:t>
      </w:r>
      <w:proofErr w:type="spellEnd"/>
      <w:r w:rsidRPr="00F041AD">
        <w:rPr>
          <w:color w:val="333333" w:themeColor="background1"/>
        </w:rPr>
        <w:t>, City of Oakdale</w:t>
      </w:r>
    </w:p>
    <w:p w14:paraId="72633DA9" w14:textId="77777777" w:rsidR="00B95D21" w:rsidRPr="00F041AD" w:rsidRDefault="00B95D21" w:rsidP="00B95D21">
      <w:pPr>
        <w:pStyle w:val="5BodyText"/>
        <w:rPr>
          <w:color w:val="333333" w:themeColor="background1"/>
        </w:rPr>
      </w:pPr>
      <w:r w:rsidRPr="00F041AD">
        <w:rPr>
          <w:color w:val="333333" w:themeColor="background1"/>
        </w:rPr>
        <w:t xml:space="preserve">Ryan </w:t>
      </w:r>
      <w:proofErr w:type="spellStart"/>
      <w:r w:rsidRPr="00F041AD">
        <w:rPr>
          <w:color w:val="333333" w:themeColor="background1"/>
        </w:rPr>
        <w:t>Hentges</w:t>
      </w:r>
      <w:proofErr w:type="spellEnd"/>
      <w:r w:rsidRPr="00F041AD">
        <w:rPr>
          <w:color w:val="333333" w:themeColor="background1"/>
        </w:rPr>
        <w:t>, Minnesota Valley Electric Cooperative</w:t>
      </w:r>
    </w:p>
    <w:p w14:paraId="64417FD1" w14:textId="77777777" w:rsidR="00B95D21" w:rsidRPr="00F041AD" w:rsidRDefault="00B95D21" w:rsidP="00B95D21">
      <w:pPr>
        <w:pStyle w:val="5BodyText"/>
        <w:rPr>
          <w:color w:val="333333" w:themeColor="background1"/>
        </w:rPr>
      </w:pPr>
      <w:r w:rsidRPr="00F041AD">
        <w:rPr>
          <w:color w:val="333333" w:themeColor="background1"/>
        </w:rPr>
        <w:t>Joe Houseman, Wellington Management</w:t>
      </w:r>
    </w:p>
    <w:p w14:paraId="3FD165D8" w14:textId="77777777" w:rsidR="00B95D21" w:rsidRPr="00F041AD" w:rsidRDefault="00B95D21" w:rsidP="00B95D21">
      <w:pPr>
        <w:pStyle w:val="5BodyText"/>
        <w:rPr>
          <w:color w:val="333333" w:themeColor="background1"/>
        </w:rPr>
      </w:pPr>
      <w:r w:rsidRPr="00F041AD">
        <w:rPr>
          <w:color w:val="333333" w:themeColor="background1"/>
        </w:rPr>
        <w:t>David Hughes, Target</w:t>
      </w:r>
    </w:p>
    <w:p w14:paraId="5F3CDF0B" w14:textId="77777777" w:rsidR="00B95D21" w:rsidRPr="00F041AD" w:rsidRDefault="00B95D21" w:rsidP="00B95D21">
      <w:pPr>
        <w:pStyle w:val="5BodyText"/>
        <w:rPr>
          <w:color w:val="333333" w:themeColor="background1"/>
        </w:rPr>
      </w:pPr>
      <w:r w:rsidRPr="00F041AD">
        <w:rPr>
          <w:color w:val="333333" w:themeColor="background1"/>
        </w:rPr>
        <w:t xml:space="preserve">Robert </w:t>
      </w:r>
      <w:proofErr w:type="spellStart"/>
      <w:r w:rsidRPr="00F041AD">
        <w:rPr>
          <w:color w:val="333333" w:themeColor="background1"/>
        </w:rPr>
        <w:t>Jagusch</w:t>
      </w:r>
      <w:proofErr w:type="spellEnd"/>
      <w:r w:rsidRPr="00F041AD">
        <w:rPr>
          <w:color w:val="333333" w:themeColor="background1"/>
        </w:rPr>
        <w:t>, Minnesota Municipal Utilities Association</w:t>
      </w:r>
    </w:p>
    <w:p w14:paraId="3D457F17" w14:textId="77777777" w:rsidR="00B95D21" w:rsidRPr="00F041AD" w:rsidRDefault="00B95D21" w:rsidP="00B95D21">
      <w:pPr>
        <w:pStyle w:val="5BodyText"/>
        <w:rPr>
          <w:color w:val="333333" w:themeColor="background1"/>
        </w:rPr>
      </w:pPr>
      <w:r w:rsidRPr="00F041AD">
        <w:rPr>
          <w:color w:val="333333" w:themeColor="background1"/>
        </w:rPr>
        <w:t>Bruce Jones, Minnesota State University Mankato</w:t>
      </w:r>
    </w:p>
    <w:p w14:paraId="2E2963E2" w14:textId="77777777" w:rsidR="00B95D21" w:rsidRPr="00F041AD" w:rsidRDefault="00B95D21" w:rsidP="00B95D21">
      <w:pPr>
        <w:pStyle w:val="5BodyText"/>
        <w:rPr>
          <w:color w:val="333333" w:themeColor="background1"/>
        </w:rPr>
      </w:pPr>
      <w:r w:rsidRPr="00F041AD">
        <w:rPr>
          <w:color w:val="333333" w:themeColor="background1"/>
        </w:rPr>
        <w:t xml:space="preserve">Justin </w:t>
      </w:r>
      <w:proofErr w:type="spellStart"/>
      <w:r w:rsidRPr="00F041AD">
        <w:rPr>
          <w:color w:val="333333" w:themeColor="background1"/>
        </w:rPr>
        <w:t>Kaster</w:t>
      </w:r>
      <w:proofErr w:type="spellEnd"/>
      <w:r w:rsidRPr="00F041AD">
        <w:rPr>
          <w:color w:val="333333" w:themeColor="background1"/>
        </w:rPr>
        <w:t>, 2100 Advisors</w:t>
      </w:r>
    </w:p>
    <w:p w14:paraId="04E9965E" w14:textId="77777777" w:rsidR="00B95D21" w:rsidRPr="00F041AD" w:rsidRDefault="00B95D21" w:rsidP="00B95D21">
      <w:pPr>
        <w:pStyle w:val="5BodyText"/>
        <w:rPr>
          <w:color w:val="333333" w:themeColor="background1"/>
        </w:rPr>
      </w:pPr>
      <w:r w:rsidRPr="00F041AD">
        <w:rPr>
          <w:color w:val="333333" w:themeColor="background1"/>
        </w:rPr>
        <w:t xml:space="preserve">Holly </w:t>
      </w:r>
      <w:proofErr w:type="spellStart"/>
      <w:r w:rsidRPr="00F041AD">
        <w:rPr>
          <w:color w:val="333333" w:themeColor="background1"/>
        </w:rPr>
        <w:t>Lahd</w:t>
      </w:r>
      <w:proofErr w:type="spellEnd"/>
      <w:r w:rsidRPr="00F041AD">
        <w:rPr>
          <w:color w:val="333333" w:themeColor="background1"/>
        </w:rPr>
        <w:t>, Fresh Energy</w:t>
      </w:r>
    </w:p>
    <w:p w14:paraId="103A4FA5" w14:textId="77777777" w:rsidR="00B95D21" w:rsidRPr="00F041AD" w:rsidRDefault="00B95D21" w:rsidP="00B95D21">
      <w:pPr>
        <w:pStyle w:val="5BodyText"/>
        <w:rPr>
          <w:color w:val="333333" w:themeColor="background1"/>
        </w:rPr>
      </w:pPr>
      <w:proofErr w:type="spellStart"/>
      <w:r w:rsidRPr="00F041AD">
        <w:rPr>
          <w:color w:val="333333" w:themeColor="background1"/>
        </w:rPr>
        <w:t>Adeel</w:t>
      </w:r>
      <w:proofErr w:type="spellEnd"/>
      <w:r w:rsidRPr="00F041AD">
        <w:rPr>
          <w:color w:val="333333" w:themeColor="background1"/>
        </w:rPr>
        <w:t xml:space="preserve"> </w:t>
      </w:r>
      <w:proofErr w:type="spellStart"/>
      <w:r w:rsidRPr="00F041AD">
        <w:rPr>
          <w:color w:val="333333" w:themeColor="background1"/>
        </w:rPr>
        <w:t>Lari</w:t>
      </w:r>
      <w:proofErr w:type="spellEnd"/>
      <w:r w:rsidRPr="00F041AD">
        <w:rPr>
          <w:color w:val="333333" w:themeColor="background1"/>
        </w:rPr>
        <w:t>, Center for Transportation Studies, University of Minnesota</w:t>
      </w:r>
    </w:p>
    <w:p w14:paraId="280E28F6" w14:textId="77777777" w:rsidR="00B95D21" w:rsidRPr="00F041AD" w:rsidRDefault="00B95D21" w:rsidP="00B95D21">
      <w:pPr>
        <w:pStyle w:val="5BodyText"/>
        <w:rPr>
          <w:color w:val="333333" w:themeColor="background1"/>
        </w:rPr>
      </w:pPr>
      <w:r w:rsidRPr="00F041AD">
        <w:rPr>
          <w:color w:val="333333" w:themeColor="background1"/>
        </w:rPr>
        <w:t>Nick Mark, CenterPoint Energy</w:t>
      </w:r>
    </w:p>
    <w:p w14:paraId="42462BCD" w14:textId="77777777" w:rsidR="00B95D21" w:rsidRPr="00F041AD" w:rsidRDefault="00B95D21" w:rsidP="00B95D21">
      <w:pPr>
        <w:pStyle w:val="5BodyText"/>
        <w:rPr>
          <w:color w:val="333333" w:themeColor="background1"/>
        </w:rPr>
      </w:pPr>
      <w:r w:rsidRPr="00F041AD">
        <w:rPr>
          <w:color w:val="333333" w:themeColor="background1"/>
        </w:rPr>
        <w:t xml:space="preserve">Jennifer </w:t>
      </w:r>
      <w:proofErr w:type="spellStart"/>
      <w:r w:rsidRPr="00F041AD">
        <w:rPr>
          <w:color w:val="333333" w:themeColor="background1"/>
        </w:rPr>
        <w:t>McLoughlin</w:t>
      </w:r>
      <w:proofErr w:type="spellEnd"/>
      <w:r w:rsidRPr="00F041AD">
        <w:rPr>
          <w:color w:val="333333" w:themeColor="background1"/>
        </w:rPr>
        <w:t>, City of Woodbury</w:t>
      </w:r>
    </w:p>
    <w:p w14:paraId="190B276D" w14:textId="77777777" w:rsidR="00B95D21" w:rsidRPr="00F041AD" w:rsidRDefault="00B95D21" w:rsidP="00B95D21">
      <w:pPr>
        <w:pStyle w:val="5BodyText"/>
        <w:rPr>
          <w:color w:val="333333" w:themeColor="background1"/>
        </w:rPr>
      </w:pPr>
      <w:r w:rsidRPr="00F041AD">
        <w:rPr>
          <w:color w:val="333333" w:themeColor="background1"/>
        </w:rPr>
        <w:t>Lissa Pawlisch, Clean Energy Resource Teams</w:t>
      </w:r>
    </w:p>
    <w:p w14:paraId="5BF42CCE" w14:textId="77777777" w:rsidR="00B95D21" w:rsidRPr="00F041AD" w:rsidRDefault="00B95D21" w:rsidP="00B95D21">
      <w:pPr>
        <w:pStyle w:val="5BodyText"/>
        <w:rPr>
          <w:color w:val="333333" w:themeColor="background1"/>
        </w:rPr>
      </w:pPr>
      <w:r w:rsidRPr="00F041AD">
        <w:rPr>
          <w:color w:val="333333" w:themeColor="background1"/>
        </w:rPr>
        <w:t>Annie Perkins, Andersen Corporation</w:t>
      </w:r>
    </w:p>
    <w:p w14:paraId="4167BB1E" w14:textId="77777777" w:rsidR="00B95D21" w:rsidRPr="00F041AD" w:rsidRDefault="00B95D21" w:rsidP="00B95D21">
      <w:pPr>
        <w:pStyle w:val="5BodyText"/>
        <w:rPr>
          <w:color w:val="333333" w:themeColor="background1"/>
        </w:rPr>
      </w:pPr>
      <w:r w:rsidRPr="00F041AD">
        <w:rPr>
          <w:color w:val="333333" w:themeColor="background1"/>
        </w:rPr>
        <w:t xml:space="preserve">Dana </w:t>
      </w:r>
      <w:proofErr w:type="spellStart"/>
      <w:r w:rsidRPr="00F041AD">
        <w:rPr>
          <w:color w:val="333333" w:themeColor="background1"/>
        </w:rPr>
        <w:t>Persson</w:t>
      </w:r>
      <w:proofErr w:type="spellEnd"/>
      <w:r w:rsidRPr="00F041AD">
        <w:rPr>
          <w:color w:val="333333" w:themeColor="background1"/>
        </w:rPr>
        <w:t>, Green Biologics</w:t>
      </w:r>
    </w:p>
    <w:p w14:paraId="43825766" w14:textId="77777777" w:rsidR="00B95D21" w:rsidRPr="00F041AD" w:rsidRDefault="00B95D21" w:rsidP="00B95D21">
      <w:pPr>
        <w:pStyle w:val="5BodyText"/>
        <w:rPr>
          <w:color w:val="333333" w:themeColor="background1"/>
        </w:rPr>
      </w:pPr>
      <w:r w:rsidRPr="00F041AD">
        <w:rPr>
          <w:color w:val="333333" w:themeColor="background1"/>
        </w:rPr>
        <w:t>Kevin Schwain, Xcel Energy</w:t>
      </w:r>
    </w:p>
    <w:p w14:paraId="7A5FB44D" w14:textId="77777777" w:rsidR="00B95D21" w:rsidRPr="00F041AD" w:rsidRDefault="00B95D21" w:rsidP="00B95D21">
      <w:pPr>
        <w:pStyle w:val="5BodyText"/>
        <w:rPr>
          <w:color w:val="333333" w:themeColor="background1"/>
        </w:rPr>
      </w:pPr>
      <w:r w:rsidRPr="00F041AD">
        <w:rPr>
          <w:color w:val="333333" w:themeColor="background1"/>
        </w:rPr>
        <w:t>Jodi Slick, Ecolibrium3</w:t>
      </w:r>
    </w:p>
    <w:p w14:paraId="4494DC6B" w14:textId="77777777" w:rsidR="00B95D21" w:rsidRPr="00F041AD" w:rsidRDefault="00B95D21" w:rsidP="00B95D21">
      <w:pPr>
        <w:pStyle w:val="5BodyText"/>
        <w:rPr>
          <w:color w:val="333333" w:themeColor="background1"/>
        </w:rPr>
      </w:pPr>
      <w:r w:rsidRPr="00F041AD">
        <w:rPr>
          <w:color w:val="333333" w:themeColor="background1"/>
        </w:rPr>
        <w:t>Brendan Slotterback, City of Minneapolis</w:t>
      </w:r>
    </w:p>
    <w:p w14:paraId="1DD8C4D2" w14:textId="77777777" w:rsidR="00B95D21" w:rsidRPr="00F041AD" w:rsidRDefault="00B95D21" w:rsidP="00B95D21">
      <w:pPr>
        <w:pStyle w:val="5BodyText"/>
        <w:rPr>
          <w:color w:val="333333" w:themeColor="background1"/>
        </w:rPr>
      </w:pPr>
      <w:r w:rsidRPr="00F041AD">
        <w:rPr>
          <w:color w:val="333333" w:themeColor="background1"/>
        </w:rPr>
        <w:lastRenderedPageBreak/>
        <w:t>Ken Smith, Ever‐Green Energy</w:t>
      </w:r>
    </w:p>
    <w:p w14:paraId="20037EDD" w14:textId="77777777" w:rsidR="00B95D21" w:rsidRPr="00F041AD" w:rsidRDefault="00B95D21" w:rsidP="00B95D21">
      <w:pPr>
        <w:pStyle w:val="5BodyText"/>
        <w:rPr>
          <w:color w:val="333333" w:themeColor="background1"/>
        </w:rPr>
      </w:pPr>
      <w:r w:rsidRPr="00F041AD">
        <w:rPr>
          <w:color w:val="333333" w:themeColor="background1"/>
        </w:rPr>
        <w:t>Grace Xavier, 3M</w:t>
      </w:r>
    </w:p>
    <w:p w14:paraId="41269E34" w14:textId="77777777" w:rsidR="00B95D21" w:rsidRPr="00F041AD" w:rsidRDefault="00B95D21" w:rsidP="00B95D21">
      <w:pPr>
        <w:pStyle w:val="5BodyText"/>
        <w:rPr>
          <w:color w:val="333333" w:themeColor="background1"/>
        </w:rPr>
      </w:pPr>
    </w:p>
    <w:p w14:paraId="01901A65" w14:textId="77777777" w:rsidR="00B95D21" w:rsidRPr="00F041AD" w:rsidRDefault="00B95D21" w:rsidP="00B95D21">
      <w:pPr>
        <w:pStyle w:val="5BodyText"/>
        <w:rPr>
          <w:color w:val="333333" w:themeColor="background1"/>
        </w:rPr>
      </w:pPr>
    </w:p>
    <w:p w14:paraId="10513E94" w14:textId="77777777" w:rsidR="00B95D21" w:rsidRPr="00F041AD" w:rsidRDefault="00B95D21" w:rsidP="00B95D21">
      <w:pPr>
        <w:rPr>
          <w:color w:val="333333" w:themeColor="background1"/>
        </w:rPr>
      </w:pPr>
    </w:p>
    <w:p w14:paraId="073D495F" w14:textId="77777777" w:rsidR="007C2FA5" w:rsidRPr="00F041AD" w:rsidRDefault="007C2FA5" w:rsidP="00B37CBA">
      <w:pPr>
        <w:pStyle w:val="5BodyText"/>
        <w:rPr>
          <w:b/>
          <w:i/>
          <w:color w:val="333333" w:themeColor="background1"/>
        </w:rPr>
      </w:pPr>
    </w:p>
    <w:sectPr w:rsidR="007C2FA5" w:rsidRPr="00F041AD" w:rsidSect="00564DC9">
      <w:endnotePr>
        <w:numFmt w:val="decimal"/>
      </w:endnotePr>
      <w:pgSz w:w="12240" w:h="15840"/>
      <w:pgMar w:top="1627" w:right="1080" w:bottom="1440" w:left="1080" w:header="720" w:footer="27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B76F6E" w14:textId="77777777" w:rsidR="006506BB" w:rsidRDefault="006506BB" w:rsidP="00DD7DB3">
      <w:r>
        <w:separator/>
      </w:r>
    </w:p>
  </w:endnote>
  <w:endnote w:type="continuationSeparator" w:id="0">
    <w:p w14:paraId="4E2B54FD" w14:textId="77777777" w:rsidR="006506BB" w:rsidRDefault="006506BB" w:rsidP="00DD7DB3">
      <w:r>
        <w:continuationSeparator/>
      </w:r>
    </w:p>
  </w:endnote>
  <w:endnote w:type="continuationNotice" w:id="1">
    <w:p w14:paraId="4E68D35A" w14:textId="77777777" w:rsidR="006506BB" w:rsidRDefault="006506BB"/>
  </w:endnote>
  <w:endnote w:id="2">
    <w:p w14:paraId="6FDC6AB6" w14:textId="47409294" w:rsidR="006506BB" w:rsidRPr="00DC544C" w:rsidRDefault="006506BB" w:rsidP="00547FA5">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OECD/IEA, “Global EV Outlook 2015,” </w:t>
      </w:r>
      <w:hyperlink r:id="rId1" w:history="1">
        <w:r w:rsidRPr="00DC544C">
          <w:rPr>
            <w:rStyle w:val="Hyperlink"/>
            <w:color w:val="4C4C4C" w:themeColor="text2"/>
            <w:sz w:val="16"/>
            <w:szCs w:val="16"/>
          </w:rPr>
          <w:t>http://www.iea.org/evi/Global-EV-Outlook-2015-Update_1page.pdf</w:t>
        </w:r>
      </w:hyperlink>
      <w:r w:rsidRPr="00DC544C">
        <w:rPr>
          <w:color w:val="4C4C4C" w:themeColor="text2"/>
          <w:sz w:val="16"/>
          <w:szCs w:val="16"/>
        </w:rPr>
        <w:t xml:space="preserve"> </w:t>
      </w:r>
    </w:p>
  </w:endnote>
  <w:endnote w:id="3">
    <w:p w14:paraId="2D431684" w14:textId="49C1AF3E" w:rsidR="006506BB" w:rsidRPr="00DC544C" w:rsidRDefault="006506BB" w:rsidP="00547FA5">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ORNL, “2014 Vehicle Technologies Market Report,” </w:t>
      </w:r>
      <w:hyperlink r:id="rId2" w:history="1">
        <w:r w:rsidRPr="00DC544C">
          <w:rPr>
            <w:rStyle w:val="Hyperlink"/>
            <w:color w:val="4C4C4C" w:themeColor="text2"/>
            <w:sz w:val="16"/>
            <w:szCs w:val="16"/>
          </w:rPr>
          <w:t>http://cta.ornl.gov/vtmarketreport/pdf/2014_vtmarketreport_full_doc.pdf</w:t>
        </w:r>
      </w:hyperlink>
      <w:r w:rsidRPr="00DC544C">
        <w:rPr>
          <w:color w:val="4C4C4C" w:themeColor="text2"/>
          <w:sz w:val="16"/>
          <w:szCs w:val="16"/>
        </w:rPr>
        <w:t xml:space="preserve"> </w:t>
      </w:r>
    </w:p>
  </w:endnote>
  <w:endnote w:id="4">
    <w:p w14:paraId="640E295B" w14:textId="77777777" w:rsidR="006506BB" w:rsidRPr="00DC544C" w:rsidRDefault="006506BB" w:rsidP="00547FA5">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Lazard, “Lazard’s </w:t>
      </w:r>
      <w:proofErr w:type="spellStart"/>
      <w:r w:rsidRPr="00DC544C">
        <w:rPr>
          <w:color w:val="4C4C4C" w:themeColor="text2"/>
          <w:sz w:val="16"/>
          <w:szCs w:val="16"/>
        </w:rPr>
        <w:t>Levelized</w:t>
      </w:r>
      <w:proofErr w:type="spellEnd"/>
      <w:r w:rsidRPr="00DC544C">
        <w:rPr>
          <w:color w:val="4C4C4C" w:themeColor="text2"/>
          <w:sz w:val="16"/>
          <w:szCs w:val="16"/>
        </w:rPr>
        <w:t xml:space="preserve"> Cost of Energy Analysis—Version 9.0,” 2015, </w:t>
      </w:r>
      <w:hyperlink r:id="rId3" w:history="1">
        <w:r w:rsidRPr="00DC544C">
          <w:rPr>
            <w:rStyle w:val="Hyperlink"/>
            <w:color w:val="4C4C4C" w:themeColor="text2"/>
            <w:sz w:val="16"/>
            <w:szCs w:val="16"/>
          </w:rPr>
          <w:t>https://www.lazard.com/perspective/levelized-cost-of-energy-analysis-90/</w:t>
        </w:r>
      </w:hyperlink>
      <w:r w:rsidRPr="00DC544C">
        <w:rPr>
          <w:color w:val="4C4C4C" w:themeColor="text2"/>
          <w:sz w:val="16"/>
          <w:szCs w:val="16"/>
        </w:rPr>
        <w:t xml:space="preserve">. </w:t>
      </w:r>
    </w:p>
  </w:endnote>
  <w:endnote w:id="5">
    <w:p w14:paraId="36C72163" w14:textId="77777777" w:rsidR="006506BB" w:rsidRPr="00DC544C" w:rsidRDefault="006506BB" w:rsidP="00547FA5">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Navigant Research, “Energy and Environment Consumer Survey: Consumer Attitudes and Awareness toward 10 Smart Energy Concepts,” 2013, </w:t>
      </w:r>
      <w:hyperlink r:id="rId4" w:history="1">
        <w:r w:rsidRPr="00DC544C">
          <w:rPr>
            <w:rStyle w:val="Hyperlink"/>
            <w:color w:val="4C4C4C" w:themeColor="text2"/>
            <w:sz w:val="16"/>
            <w:szCs w:val="16"/>
          </w:rPr>
          <w:t>https://www.navigantresearch.com/research/energy-and-environment-consumer-survey</w:t>
        </w:r>
      </w:hyperlink>
      <w:r w:rsidRPr="00DC544C">
        <w:rPr>
          <w:color w:val="4C4C4C" w:themeColor="text2"/>
          <w:sz w:val="16"/>
          <w:szCs w:val="16"/>
        </w:rPr>
        <w:t xml:space="preserve">. </w:t>
      </w:r>
    </w:p>
  </w:endnote>
  <w:endnote w:id="6">
    <w:p w14:paraId="1C989031" w14:textId="77777777" w:rsidR="006506BB" w:rsidRPr="00DC544C" w:rsidRDefault="006506BB" w:rsidP="00547FA5">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IEA, “Medium Term Energy Efficiency Market Report 2015,” 2015, </w:t>
      </w:r>
      <w:hyperlink r:id="rId5" w:history="1">
        <w:r w:rsidRPr="00DC544C">
          <w:rPr>
            <w:rStyle w:val="Hyperlink"/>
            <w:color w:val="4C4C4C" w:themeColor="text2"/>
            <w:sz w:val="16"/>
            <w:szCs w:val="16"/>
          </w:rPr>
          <w:t>https://www.iea.org/publications/freepublications/publication/MediumTermEnergyefficiencyMarketReport2015.pdf</w:t>
        </w:r>
      </w:hyperlink>
      <w:r w:rsidRPr="00DC544C">
        <w:rPr>
          <w:color w:val="4C4C4C" w:themeColor="text2"/>
          <w:sz w:val="16"/>
          <w:szCs w:val="16"/>
        </w:rPr>
        <w:t xml:space="preserve">. </w:t>
      </w:r>
    </w:p>
  </w:endnote>
  <w:endnote w:id="7">
    <w:p w14:paraId="18B18021" w14:textId="77777777" w:rsidR="006506BB" w:rsidRPr="00DC544C" w:rsidRDefault="006506BB" w:rsidP="00547FA5">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Anika Todd, Michael Perry, Brian Smith, Michael Sullivan, Peter Cappers, Charles Goldman, “Insights from Smart Meters: The Potential for Peak-Hour Savings from Behavior-Based Programs,” Lawrence Berkeley National Laboratory, June 2014, </w:t>
      </w:r>
      <w:hyperlink r:id="rId6" w:history="1">
        <w:r w:rsidRPr="00DC544C">
          <w:rPr>
            <w:rStyle w:val="Hyperlink"/>
            <w:color w:val="4C4C4C" w:themeColor="text2"/>
            <w:sz w:val="16"/>
            <w:szCs w:val="16"/>
          </w:rPr>
          <w:t>https://emp.lbl.gov/sites/all/files/lbnl-6598e_0.pdf</w:t>
        </w:r>
      </w:hyperlink>
      <w:r w:rsidRPr="00DC544C">
        <w:rPr>
          <w:color w:val="4C4C4C" w:themeColor="text2"/>
          <w:sz w:val="16"/>
          <w:szCs w:val="16"/>
        </w:rPr>
        <w:t xml:space="preserve">. </w:t>
      </w:r>
    </w:p>
  </w:endnote>
  <w:endnote w:id="8">
    <w:p w14:paraId="55092395" w14:textId="660BAD06" w:rsidR="006506BB" w:rsidRPr="00DC544C" w:rsidRDefault="006506BB" w:rsidP="00547FA5">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John Melville, </w:t>
      </w:r>
      <w:proofErr w:type="spellStart"/>
      <w:r w:rsidRPr="00DC544C">
        <w:rPr>
          <w:color w:val="4C4C4C" w:themeColor="text2"/>
          <w:sz w:val="16"/>
          <w:szCs w:val="16"/>
        </w:rPr>
        <w:t>Renae</w:t>
      </w:r>
      <w:proofErr w:type="spellEnd"/>
      <w:r w:rsidRPr="00DC544C">
        <w:rPr>
          <w:color w:val="4C4C4C" w:themeColor="text2"/>
          <w:sz w:val="16"/>
          <w:szCs w:val="16"/>
        </w:rPr>
        <w:t xml:space="preserve"> Steichen, and Janine Kaiser, </w:t>
      </w:r>
      <w:r w:rsidRPr="00DC544C">
        <w:rPr>
          <w:i/>
          <w:color w:val="4C4C4C" w:themeColor="text2"/>
          <w:sz w:val="16"/>
          <w:szCs w:val="16"/>
        </w:rPr>
        <w:t>Minnesota’s Clean Energy Economy Profile 2014,</w:t>
      </w:r>
      <w:r w:rsidRPr="00DC544C">
        <w:rPr>
          <w:color w:val="4C4C4C" w:themeColor="text2"/>
          <w:sz w:val="16"/>
          <w:szCs w:val="16"/>
        </w:rPr>
        <w:t xml:space="preserve"> Department of Employment and Economic Development, October 2014,</w:t>
      </w:r>
      <w:r w:rsidRPr="00DC544C">
        <w:rPr>
          <w:i/>
          <w:color w:val="4C4C4C" w:themeColor="text2"/>
          <w:sz w:val="16"/>
          <w:szCs w:val="16"/>
        </w:rPr>
        <w:t xml:space="preserve"> </w:t>
      </w:r>
      <w:hyperlink r:id="rId7" w:history="1">
        <w:r w:rsidRPr="00DC544C">
          <w:rPr>
            <w:rStyle w:val="Hyperlink"/>
            <w:color w:val="4C4C4C" w:themeColor="text2"/>
            <w:sz w:val="16"/>
            <w:szCs w:val="16"/>
          </w:rPr>
          <w:t>http://mn.gov/deed/images/mn_cleanenergy-economy-profile-fullreport.pdf</w:t>
        </w:r>
      </w:hyperlink>
      <w:r w:rsidRPr="00DC544C">
        <w:rPr>
          <w:color w:val="4C4C4C" w:themeColor="text2"/>
          <w:sz w:val="16"/>
          <w:szCs w:val="16"/>
        </w:rPr>
        <w:t xml:space="preserve"> </w:t>
      </w:r>
    </w:p>
  </w:endnote>
  <w:endnote w:id="9">
    <w:p w14:paraId="67723A25" w14:textId="77777777" w:rsidR="006506BB" w:rsidRPr="00DC544C" w:rsidRDefault="006506BB" w:rsidP="00547FA5">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Rocky Mountain Institute, </w:t>
      </w:r>
      <w:r w:rsidRPr="00DC544C">
        <w:rPr>
          <w:i/>
          <w:color w:val="4C4C4C" w:themeColor="text2"/>
          <w:sz w:val="16"/>
          <w:szCs w:val="16"/>
        </w:rPr>
        <w:t xml:space="preserve">Community Energy Resource Guide, </w:t>
      </w:r>
      <w:r w:rsidRPr="00DC544C">
        <w:rPr>
          <w:color w:val="4C4C4C" w:themeColor="text2"/>
          <w:sz w:val="16"/>
          <w:szCs w:val="16"/>
        </w:rPr>
        <w:t xml:space="preserve">December 2015, </w:t>
      </w:r>
      <w:hyperlink r:id="rId8" w:history="1">
        <w:r w:rsidRPr="00DC544C">
          <w:rPr>
            <w:rStyle w:val="Hyperlink"/>
            <w:color w:val="4C4C4C" w:themeColor="text2"/>
            <w:sz w:val="16"/>
            <w:szCs w:val="16"/>
          </w:rPr>
          <w:t>http://www.rmi.org/community_energy_guide</w:t>
        </w:r>
      </w:hyperlink>
    </w:p>
  </w:endnote>
  <w:endnote w:id="10">
    <w:p w14:paraId="2C9B474B" w14:textId="4B13D01C" w:rsidR="006506BB" w:rsidRDefault="006506BB" w:rsidP="003C0256">
      <w:pPr>
        <w:pStyle w:val="FootnoteText"/>
      </w:pPr>
      <w:r>
        <w:rPr>
          <w:rStyle w:val="EndnoteReference"/>
        </w:rPr>
        <w:endnoteRef/>
      </w:r>
      <w:r>
        <w:t xml:space="preserve"> </w:t>
      </w:r>
      <w:r w:rsidRPr="003C0256">
        <w:rPr>
          <w:sz w:val="16"/>
          <w:szCs w:val="16"/>
        </w:rPr>
        <w:t xml:space="preserve">Advanced Energy Economy, </w:t>
      </w:r>
      <w:r w:rsidRPr="003C0256">
        <w:rPr>
          <w:i/>
          <w:sz w:val="16"/>
          <w:szCs w:val="16"/>
        </w:rPr>
        <w:t>Advanced Energy Now: 2016 Market Report</w:t>
      </w:r>
      <w:r w:rsidRPr="003C0256">
        <w:rPr>
          <w:sz w:val="16"/>
          <w:szCs w:val="16"/>
        </w:rPr>
        <w:t>, prepared by Navigant Research,</w:t>
      </w:r>
      <w:r w:rsidRPr="003C0256">
        <w:rPr>
          <w:i/>
          <w:sz w:val="16"/>
          <w:szCs w:val="16"/>
        </w:rPr>
        <w:t xml:space="preserve"> </w:t>
      </w:r>
      <w:r w:rsidRPr="003C0256">
        <w:rPr>
          <w:sz w:val="16"/>
          <w:szCs w:val="16"/>
        </w:rPr>
        <w:t xml:space="preserve">March 2016, </w:t>
      </w:r>
      <w:hyperlink r:id="rId9" w:history="1">
        <w:r w:rsidRPr="003C0256">
          <w:rPr>
            <w:rStyle w:val="Hyperlink"/>
            <w:sz w:val="16"/>
            <w:szCs w:val="16"/>
          </w:rPr>
          <w:t>https://www.aee.net/articles/aee-releases-advanced-energy-now-2016-market-report</w:t>
        </w:r>
      </w:hyperlink>
      <w:r w:rsidRPr="003C0256">
        <w:rPr>
          <w:sz w:val="16"/>
          <w:szCs w:val="16"/>
        </w:rPr>
        <w:t xml:space="preserve">. </w:t>
      </w:r>
    </w:p>
  </w:endnote>
  <w:endnote w:id="11">
    <w:p w14:paraId="7714A496" w14:textId="08CD6D49" w:rsidR="006506BB" w:rsidRPr="00DC544C" w:rsidRDefault="006506BB" w:rsidP="00C87251">
      <w:pPr>
        <w:rPr>
          <w:color w:val="4C4C4C" w:themeColor="text2"/>
          <w:sz w:val="16"/>
          <w:szCs w:val="16"/>
        </w:rPr>
      </w:pPr>
      <w:r w:rsidRPr="00DC544C">
        <w:rPr>
          <w:color w:val="4C4C4C" w:themeColor="text2"/>
          <w:sz w:val="16"/>
          <w:szCs w:val="16"/>
          <w:vertAlign w:val="superscript"/>
        </w:rPr>
        <w:endnoteRef/>
      </w:r>
      <w:r w:rsidRPr="00DC544C">
        <w:rPr>
          <w:color w:val="4C4C4C" w:themeColor="text2"/>
          <w:sz w:val="16"/>
          <w:szCs w:val="16"/>
        </w:rPr>
        <w:t xml:space="preserve"> </w:t>
      </w:r>
      <w:r w:rsidRPr="00DC544C">
        <w:rPr>
          <w:rStyle w:val="FootnoteTextChar"/>
          <w:color w:val="4C4C4C" w:themeColor="text2"/>
          <w:sz w:val="16"/>
          <w:szCs w:val="16"/>
        </w:rPr>
        <w:t>List available at http://www.lec.leg.mn/projects/2025/2025AdvisoryCommittee.pdf</w:t>
      </w:r>
    </w:p>
  </w:endnote>
  <w:endnote w:id="12">
    <w:p w14:paraId="0C93CF80" w14:textId="77777777" w:rsidR="006506BB" w:rsidRPr="00DC544C" w:rsidRDefault="006506BB" w:rsidP="00F26F54">
      <w:pPr>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w:t>
      </w:r>
      <w:hyperlink r:id="rId10" w:history="1">
        <w:r w:rsidRPr="00DC544C">
          <w:rPr>
            <w:rStyle w:val="Hyperlink"/>
            <w:color w:val="4C4C4C" w:themeColor="text2"/>
            <w:sz w:val="16"/>
            <w:szCs w:val="16"/>
          </w:rPr>
          <w:t>Letter verifying utility compliance with Renewable Electricity Standards</w:t>
        </w:r>
      </w:hyperlink>
      <w:r w:rsidRPr="00DC544C">
        <w:rPr>
          <w:color w:val="4C4C4C" w:themeColor="text2"/>
          <w:sz w:val="16"/>
          <w:szCs w:val="16"/>
        </w:rPr>
        <w:t>, MN Department of Commerce, June 5, 2015, Docket 15-12</w:t>
      </w:r>
    </w:p>
  </w:endnote>
  <w:endnote w:id="13">
    <w:p w14:paraId="1D8C16B4" w14:textId="77777777" w:rsidR="006506BB" w:rsidRPr="00DC544C" w:rsidRDefault="006506BB" w:rsidP="00F26F54">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w:t>
      </w:r>
      <w:hyperlink r:id="rId11" w:history="1">
        <w:r w:rsidRPr="00DC544C">
          <w:rPr>
            <w:rStyle w:val="Hyperlink"/>
            <w:color w:val="4C4C4C" w:themeColor="text2"/>
            <w:sz w:val="16"/>
            <w:szCs w:val="16"/>
          </w:rPr>
          <w:t>Report to the Minnesota Legislature</w:t>
        </w:r>
      </w:hyperlink>
      <w:r w:rsidRPr="00DC544C">
        <w:rPr>
          <w:color w:val="4C4C4C" w:themeColor="text2"/>
          <w:sz w:val="16"/>
          <w:szCs w:val="16"/>
        </w:rPr>
        <w:t>, MN Department of Commerce, January 28, 2015, Docket 14-237</w:t>
      </w:r>
    </w:p>
  </w:endnote>
  <w:endnote w:id="14">
    <w:p w14:paraId="224FA985" w14:textId="77777777" w:rsidR="006506BB" w:rsidRPr="00DC544C" w:rsidRDefault="006506BB" w:rsidP="00F26F54">
      <w:pPr>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“About the Minnesota Biodiesel Program,” Minnesota Department of Agriculture, 2016, </w:t>
      </w:r>
      <w:hyperlink r:id="rId12" w:history="1">
        <w:r w:rsidRPr="00DC544C">
          <w:rPr>
            <w:rStyle w:val="Hyperlink"/>
            <w:color w:val="4C4C4C" w:themeColor="text2"/>
            <w:sz w:val="16"/>
            <w:szCs w:val="16"/>
          </w:rPr>
          <w:t>http://www.mda.state.mn.us/renewable/biodiesel/aboutbiodiesel.aspx</w:t>
        </w:r>
      </w:hyperlink>
      <w:r w:rsidRPr="00DC544C">
        <w:rPr>
          <w:color w:val="4C4C4C" w:themeColor="text2"/>
          <w:sz w:val="16"/>
          <w:szCs w:val="16"/>
        </w:rPr>
        <w:t xml:space="preserve">. </w:t>
      </w:r>
    </w:p>
  </w:endnote>
  <w:endnote w:id="15">
    <w:p w14:paraId="65271AA5" w14:textId="77777777" w:rsidR="006506BB" w:rsidRPr="00DC544C" w:rsidRDefault="006506BB" w:rsidP="00F26F54">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“Report to the Legislature: Annual Report on Biodiesel,” Minnesota Department of Agriculture, January 15, 2016,  </w:t>
      </w:r>
      <w:hyperlink r:id="rId13" w:history="1">
        <w:r w:rsidRPr="00DC544C">
          <w:rPr>
            <w:rStyle w:val="Hyperlink"/>
            <w:color w:val="4C4C4C" w:themeColor="text2"/>
            <w:sz w:val="16"/>
            <w:szCs w:val="16"/>
          </w:rPr>
          <w:t>http://www.mda.state.mn.us/news/government/~/media/Files/news/govrelations/legrpt-biodiesel16.pdf</w:t>
        </w:r>
      </w:hyperlink>
      <w:r w:rsidRPr="00DC544C">
        <w:rPr>
          <w:color w:val="4C4C4C" w:themeColor="text2"/>
          <w:sz w:val="16"/>
          <w:szCs w:val="16"/>
        </w:rPr>
        <w:t xml:space="preserve"> </w:t>
      </w:r>
    </w:p>
  </w:endnote>
  <w:endnote w:id="16">
    <w:p w14:paraId="73881242" w14:textId="77777777" w:rsidR="006506BB" w:rsidRPr="00DC544C" w:rsidRDefault="006506BB" w:rsidP="00547FA5">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“Total Petroleum Price and Expenditure Estimates, “ U.S. Energy Information Administration, 2014,</w:t>
      </w:r>
    </w:p>
    <w:p w14:paraId="46315A53" w14:textId="77777777" w:rsidR="006506BB" w:rsidRPr="00DC544C" w:rsidRDefault="006506BB" w:rsidP="00547FA5">
      <w:pPr>
        <w:pStyle w:val="EndnoteText"/>
        <w:rPr>
          <w:color w:val="4C4C4C" w:themeColor="text2"/>
          <w:sz w:val="16"/>
          <w:szCs w:val="16"/>
        </w:rPr>
      </w:pPr>
      <w:r w:rsidRPr="00DC544C">
        <w:rPr>
          <w:color w:val="4C4C4C" w:themeColor="text2"/>
          <w:sz w:val="16"/>
          <w:szCs w:val="16"/>
        </w:rPr>
        <w:t>http://www.eia.gov/state/seds/data.cfm?incfile=/state/seds/sep_fuel/html/fuel_pr_pa.html&amp;sid=US</w:t>
      </w:r>
    </w:p>
  </w:endnote>
  <w:endnote w:id="17">
    <w:p w14:paraId="2B9F52B5" w14:textId="77777777" w:rsidR="006506BB" w:rsidRPr="00DC544C" w:rsidRDefault="006506BB" w:rsidP="00D5651B">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“Minnesota State Profile and Energy Estimates,” U.S. Energy Information Administration, March 17, 2016, </w:t>
      </w:r>
      <w:hyperlink r:id="rId14" w:history="1">
        <w:r w:rsidRPr="00DC544C">
          <w:rPr>
            <w:rStyle w:val="Hyperlink"/>
            <w:rFonts w:eastAsia="Arial" w:cs="Arial"/>
            <w:color w:val="4C4C4C" w:themeColor="text2"/>
            <w:sz w:val="16"/>
            <w:szCs w:val="16"/>
          </w:rPr>
          <w:t>http://www.eia.gov/state/?sid=MN</w:t>
        </w:r>
      </w:hyperlink>
      <w:r w:rsidRPr="00DC544C">
        <w:rPr>
          <w:rStyle w:val="Hyperlink"/>
          <w:rFonts w:eastAsia="Arial" w:cs="Arial"/>
          <w:color w:val="4C4C4C" w:themeColor="text2"/>
          <w:sz w:val="16"/>
          <w:szCs w:val="16"/>
        </w:rPr>
        <w:t xml:space="preserve">. </w:t>
      </w:r>
      <w:r w:rsidRPr="00DC544C">
        <w:rPr>
          <w:color w:val="4C4C4C" w:themeColor="text2"/>
          <w:sz w:val="16"/>
          <w:szCs w:val="16"/>
        </w:rPr>
        <w:t xml:space="preserve"> </w:t>
      </w:r>
    </w:p>
  </w:endnote>
  <w:endnote w:id="18">
    <w:p w14:paraId="709D454D" w14:textId="0A5E67F4" w:rsidR="006506BB" w:rsidRPr="00DC544C" w:rsidRDefault="006506BB" w:rsidP="00C02DD0">
      <w:pPr>
        <w:pStyle w:val="CommentText"/>
        <w:rPr>
          <w:rFonts w:ascii="Helvetica Neue" w:hAnsi="Helvetica Neue"/>
          <w:color w:val="4C4C4C" w:themeColor="text2"/>
          <w:sz w:val="16"/>
          <w:szCs w:val="16"/>
        </w:rPr>
      </w:pPr>
      <w:r w:rsidRPr="00DC544C">
        <w:rPr>
          <w:rStyle w:val="EndnoteReference"/>
          <w:rFonts w:ascii="Helvetica Neue" w:hAnsi="Helvetica Neue"/>
          <w:color w:val="4C4C4C" w:themeColor="text2"/>
          <w:sz w:val="16"/>
          <w:szCs w:val="16"/>
        </w:rPr>
        <w:endnoteRef/>
      </w:r>
      <w:r w:rsidRPr="00DC544C">
        <w:rPr>
          <w:rFonts w:ascii="Helvetica Neue" w:hAnsi="Helvetica Neue"/>
          <w:color w:val="4C4C4C" w:themeColor="text2"/>
          <w:sz w:val="16"/>
          <w:szCs w:val="16"/>
        </w:rPr>
        <w:t xml:space="preserve"> “21 percent of Minnesota’s electricity came from renewables in 2015,” Minnesota Department of Commerce, March 3, 2016, </w:t>
      </w:r>
      <w:hyperlink r:id="rId15" w:anchor="/list/appId//filterType//filterValue//page//sort//order/" w:history="1">
        <w:r w:rsidRPr="00DC544C">
          <w:rPr>
            <w:rStyle w:val="Hyperlink"/>
            <w:rFonts w:ascii="Helvetica Neue" w:hAnsi="Helvetica Neue"/>
            <w:color w:val="4C4C4C" w:themeColor="text2"/>
            <w:sz w:val="16"/>
            <w:szCs w:val="16"/>
          </w:rPr>
          <w:t>http://mn.gov/commerce/media/news/index.jsp?id=17-156648#/list/appId//filterType//filterValue//page//sort//order/</w:t>
        </w:r>
      </w:hyperlink>
      <w:r w:rsidRPr="00DC544C">
        <w:rPr>
          <w:rFonts w:ascii="Helvetica Neue" w:hAnsi="Helvetica Neue"/>
          <w:color w:val="4C4C4C" w:themeColor="text2"/>
          <w:sz w:val="16"/>
          <w:szCs w:val="16"/>
        </w:rPr>
        <w:t>.</w:t>
      </w:r>
    </w:p>
  </w:endnote>
  <w:endnote w:id="19">
    <w:p w14:paraId="7C7F076E" w14:textId="77777777" w:rsidR="006506BB" w:rsidRPr="00DC544C" w:rsidRDefault="006506BB" w:rsidP="00C02DD0">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“Minnesota State Profile and Energy Estimates,” U.S. Energy Information Administration, March 17, 2016, </w:t>
      </w:r>
      <w:hyperlink r:id="rId16" w:history="1">
        <w:r w:rsidRPr="00DC544C">
          <w:rPr>
            <w:rStyle w:val="Hyperlink"/>
            <w:rFonts w:eastAsia="Arial" w:cs="Arial"/>
            <w:color w:val="4C4C4C" w:themeColor="text2"/>
            <w:sz w:val="16"/>
            <w:szCs w:val="16"/>
          </w:rPr>
          <w:t>http://www.eia.gov/state/?sid=MN</w:t>
        </w:r>
      </w:hyperlink>
      <w:r w:rsidRPr="00DC544C">
        <w:rPr>
          <w:rStyle w:val="Hyperlink"/>
          <w:rFonts w:eastAsia="Arial" w:cs="Arial"/>
          <w:color w:val="4C4C4C" w:themeColor="text2"/>
          <w:sz w:val="16"/>
          <w:szCs w:val="16"/>
        </w:rPr>
        <w:t xml:space="preserve">. </w:t>
      </w:r>
      <w:r w:rsidRPr="00DC544C">
        <w:rPr>
          <w:color w:val="4C4C4C" w:themeColor="text2"/>
          <w:sz w:val="16"/>
          <w:szCs w:val="16"/>
        </w:rPr>
        <w:t xml:space="preserve"> </w:t>
      </w:r>
    </w:p>
  </w:endnote>
  <w:endnote w:id="20">
    <w:p w14:paraId="304D0D75" w14:textId="77777777" w:rsidR="006506BB" w:rsidRPr="00DC544C" w:rsidRDefault="006506BB" w:rsidP="00C02DD0">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“Minnesota,” American Council for an Energy-Efficient Economy, 2015, http://database.aceee.org/state/minnesota.</w:t>
      </w:r>
    </w:p>
  </w:endnote>
  <w:endnote w:id="21">
    <w:p w14:paraId="6D4BA360" w14:textId="77777777" w:rsidR="006506BB" w:rsidRPr="00DC544C" w:rsidRDefault="006506BB" w:rsidP="00C02DD0">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“Minnesota State Profile and Energy Estimates,” U.S. Energy Information Administration, March 17, 2016, </w:t>
      </w:r>
      <w:hyperlink r:id="rId17" w:history="1">
        <w:r w:rsidRPr="00DC544C">
          <w:rPr>
            <w:rStyle w:val="Hyperlink"/>
            <w:rFonts w:eastAsia="Arial" w:cs="Arial"/>
            <w:color w:val="4C4C4C" w:themeColor="text2"/>
            <w:sz w:val="16"/>
            <w:szCs w:val="16"/>
          </w:rPr>
          <w:t>http://www.eia.gov/state/?sid=MN</w:t>
        </w:r>
      </w:hyperlink>
      <w:r w:rsidRPr="00DC544C">
        <w:rPr>
          <w:rStyle w:val="Hyperlink"/>
          <w:rFonts w:eastAsia="Arial" w:cs="Arial"/>
          <w:color w:val="4C4C4C" w:themeColor="text2"/>
          <w:sz w:val="16"/>
          <w:szCs w:val="16"/>
        </w:rPr>
        <w:t xml:space="preserve">. </w:t>
      </w:r>
      <w:r w:rsidRPr="00DC544C">
        <w:rPr>
          <w:color w:val="4C4C4C" w:themeColor="text2"/>
          <w:sz w:val="16"/>
          <w:szCs w:val="16"/>
        </w:rPr>
        <w:t xml:space="preserve"> </w:t>
      </w:r>
    </w:p>
  </w:endnote>
  <w:endnote w:id="22">
    <w:p w14:paraId="09C783C1" w14:textId="77777777" w:rsidR="006506BB" w:rsidRPr="00DC544C" w:rsidRDefault="006506BB" w:rsidP="00C02DD0">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“2015 Environmental Benefits Report,” Minnesota Technical Assistance Program, March 2016 http://www.mntap.umn.edu/resources/reports/EnvBenefits/2015EBR.pdf</w:t>
      </w:r>
    </w:p>
  </w:endnote>
  <w:endnote w:id="23">
    <w:p w14:paraId="3A68AFC9" w14:textId="77777777" w:rsidR="006506BB" w:rsidRPr="00DC544C" w:rsidRDefault="006506BB" w:rsidP="00172401">
      <w:pPr>
        <w:pStyle w:val="EndnoteText"/>
        <w:rPr>
          <w:color w:val="4C4C4C" w:themeColor="text2"/>
          <w:sz w:val="16"/>
          <w:szCs w:val="16"/>
        </w:rPr>
      </w:pPr>
      <w:r w:rsidRPr="00DC544C">
        <w:rPr>
          <w:rStyle w:val="EndnoteReference"/>
          <w:color w:val="4C4C4C" w:themeColor="text2"/>
          <w:sz w:val="16"/>
          <w:szCs w:val="16"/>
        </w:rPr>
        <w:endnoteRef/>
      </w:r>
      <w:r w:rsidRPr="00DC544C">
        <w:rPr>
          <w:color w:val="4C4C4C" w:themeColor="text2"/>
          <w:sz w:val="16"/>
          <w:szCs w:val="16"/>
        </w:rPr>
        <w:t xml:space="preserve"> “Minnesota </w:t>
      </w:r>
      <w:proofErr w:type="spellStart"/>
      <w:r w:rsidRPr="00DC544C">
        <w:rPr>
          <w:color w:val="4C4C4C" w:themeColor="text2"/>
          <w:sz w:val="16"/>
          <w:szCs w:val="16"/>
        </w:rPr>
        <w:t>GreenStep</w:t>
      </w:r>
      <w:proofErr w:type="spellEnd"/>
      <w:r w:rsidRPr="00DC544C">
        <w:rPr>
          <w:color w:val="4C4C4C" w:themeColor="text2"/>
          <w:sz w:val="16"/>
          <w:szCs w:val="16"/>
        </w:rPr>
        <w:t xml:space="preserve"> Cities,” Minnesota Pollution Control Agency, accessed April 11, 2016, http://greenstep.pca.state.mn.us/</w:t>
      </w:r>
    </w:p>
  </w:endnote>
  <w:endnote w:id="24">
    <w:p w14:paraId="29044F71" w14:textId="77777777" w:rsidR="006506BB" w:rsidRPr="003A675F" w:rsidRDefault="006506BB" w:rsidP="005C0C67">
      <w:pPr>
        <w:rPr>
          <w:sz w:val="16"/>
          <w:szCs w:val="16"/>
          <w:lang w:val="it-IT"/>
        </w:rPr>
      </w:pPr>
      <w:r w:rsidRPr="00DC544C">
        <w:rPr>
          <w:rStyle w:val="EndnoteReference"/>
          <w:color w:val="4C4C4C" w:themeColor="text2"/>
          <w:sz w:val="16"/>
          <w:szCs w:val="16"/>
        </w:rPr>
        <w:endnoteRef/>
      </w:r>
      <w:r w:rsidRPr="00DC544C">
        <w:rPr>
          <w:color w:val="4C4C4C" w:themeColor="text2"/>
          <w:sz w:val="16"/>
          <w:szCs w:val="16"/>
          <w:lang w:val="it-IT"/>
        </w:rPr>
        <w:t xml:space="preserve"> </w:t>
      </w:r>
      <w:r w:rsidRPr="00DC544C">
        <w:rPr>
          <w:i/>
          <w:color w:val="4C4C4C" w:themeColor="text2"/>
          <w:sz w:val="16"/>
          <w:szCs w:val="16"/>
          <w:lang w:val="it-IT"/>
        </w:rPr>
        <w:t xml:space="preserve">Minnesota Renewable Energy Integration and Transmission Study, </w:t>
      </w:r>
      <w:r w:rsidRPr="00DC544C">
        <w:rPr>
          <w:color w:val="4C4C4C" w:themeColor="text2"/>
          <w:sz w:val="16"/>
          <w:szCs w:val="16"/>
          <w:lang w:val="it-IT"/>
        </w:rPr>
        <w:t>prepared by GE Energy Consulting for the Minnesota Department of Commerce,</w:t>
      </w:r>
      <w:r w:rsidRPr="00DC544C">
        <w:rPr>
          <w:i/>
          <w:color w:val="4C4C4C" w:themeColor="text2"/>
          <w:sz w:val="16"/>
          <w:szCs w:val="16"/>
          <w:lang w:val="it-IT"/>
        </w:rPr>
        <w:t xml:space="preserve"> </w:t>
      </w:r>
      <w:r w:rsidRPr="00DC544C">
        <w:rPr>
          <w:color w:val="4C4C4C" w:themeColor="text2"/>
          <w:sz w:val="16"/>
          <w:szCs w:val="16"/>
          <w:lang w:val="it-IT"/>
        </w:rPr>
        <w:t>2014, http://www.minnelectrans.com/documents/MRITS-report.pdf</w:t>
      </w:r>
    </w:p>
  </w:endnote>
  <w:endnote w:id="25">
    <w:p w14:paraId="49D50962" w14:textId="6330062A" w:rsidR="006506BB" w:rsidRPr="00C327E5" w:rsidRDefault="006506BB">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“Minnesota State Profile and Energy Estimates,” U.S. Energy Information Administration, March 17, 2016, </w:t>
      </w:r>
      <w:hyperlink r:id="rId18" w:history="1">
        <w:r w:rsidRPr="00C327E5">
          <w:rPr>
            <w:rStyle w:val="Hyperlink"/>
            <w:rFonts w:eastAsia="Arial" w:cs="Arial"/>
            <w:color w:val="4C4C4C" w:themeColor="text2"/>
            <w:sz w:val="16"/>
            <w:szCs w:val="16"/>
          </w:rPr>
          <w:t>http://www.eia.gov/state/?sid=MN</w:t>
        </w:r>
      </w:hyperlink>
      <w:r w:rsidRPr="00C327E5">
        <w:rPr>
          <w:rStyle w:val="Hyperlink"/>
          <w:rFonts w:eastAsia="Arial" w:cs="Arial"/>
          <w:color w:val="4C4C4C" w:themeColor="text2"/>
          <w:sz w:val="16"/>
          <w:szCs w:val="16"/>
        </w:rPr>
        <w:t xml:space="preserve">. </w:t>
      </w:r>
      <w:r w:rsidRPr="00C327E5">
        <w:rPr>
          <w:color w:val="4C4C4C" w:themeColor="text2"/>
          <w:sz w:val="16"/>
          <w:szCs w:val="16"/>
        </w:rPr>
        <w:t xml:space="preserve"> </w:t>
      </w:r>
    </w:p>
  </w:endnote>
  <w:endnote w:id="26">
    <w:p w14:paraId="62D1E07E" w14:textId="22B05ABD" w:rsidR="006506BB" w:rsidRPr="00C327E5" w:rsidRDefault="006506BB">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“21 percent of Minnesota’s electricity came from renewables in 2015,” Minnesota Department of Commerce, March 3, 2016, </w:t>
      </w:r>
      <w:hyperlink r:id="rId19" w:anchor="/list/appId//filterType//filterValue//page//sort//order/" w:history="1">
        <w:r w:rsidRPr="00C327E5">
          <w:rPr>
            <w:rStyle w:val="Hyperlink"/>
            <w:color w:val="4C4C4C" w:themeColor="text2"/>
            <w:sz w:val="16"/>
            <w:szCs w:val="16"/>
          </w:rPr>
          <w:t>http://mn.gov/commerce/media/news/index.jsp?id=17-156648#/list/appId//filterType//filterValue//page//sort//order/</w:t>
        </w:r>
      </w:hyperlink>
      <w:r w:rsidRPr="00C327E5">
        <w:rPr>
          <w:color w:val="4C4C4C" w:themeColor="text2"/>
          <w:sz w:val="16"/>
          <w:szCs w:val="16"/>
        </w:rPr>
        <w:t>.</w:t>
      </w:r>
    </w:p>
  </w:endnote>
  <w:endnote w:id="27">
    <w:p w14:paraId="3B4848FF" w14:textId="294C3DA6" w:rsidR="006506BB" w:rsidRPr="00C327E5" w:rsidRDefault="006506BB">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“Greenhouse gas emissions data,” Minnesota Pollution Control Agency, accessed March 17, 2016, </w:t>
      </w:r>
      <w:hyperlink r:id="rId20" w:history="1">
        <w:r w:rsidRPr="00C327E5">
          <w:rPr>
            <w:rStyle w:val="Hyperlink"/>
            <w:color w:val="4C4C4C" w:themeColor="text2"/>
            <w:sz w:val="16"/>
            <w:szCs w:val="16"/>
          </w:rPr>
          <w:t>https://www.pca.state.mn.us/air/greenhouse-gas-emissions-data</w:t>
        </w:r>
      </w:hyperlink>
      <w:r w:rsidRPr="00C327E5">
        <w:rPr>
          <w:color w:val="4C4C4C" w:themeColor="text2"/>
          <w:sz w:val="16"/>
          <w:szCs w:val="16"/>
        </w:rPr>
        <w:t xml:space="preserve">. And Anne Claflin, </w:t>
      </w:r>
      <w:r w:rsidRPr="00C327E5">
        <w:rPr>
          <w:i/>
          <w:color w:val="4C4C4C" w:themeColor="text2"/>
          <w:sz w:val="16"/>
          <w:szCs w:val="16"/>
        </w:rPr>
        <w:t>Greenhouse Gas Emissions Reductions: Biennial report to the Minnesota Legislature</w:t>
      </w:r>
      <w:r w:rsidRPr="00C327E5">
        <w:rPr>
          <w:color w:val="4C4C4C" w:themeColor="text2"/>
          <w:sz w:val="16"/>
          <w:szCs w:val="16"/>
        </w:rPr>
        <w:t xml:space="preserve">, Minnesota Pollution Control Agency and Minnesota Department of Commerce, 2015, </w:t>
      </w:r>
      <w:hyperlink r:id="rId21" w:history="1">
        <w:r w:rsidRPr="00C327E5">
          <w:rPr>
            <w:rStyle w:val="Hyperlink"/>
            <w:color w:val="4C4C4C" w:themeColor="text2"/>
            <w:sz w:val="16"/>
            <w:szCs w:val="16"/>
          </w:rPr>
          <w:t>https://www.pca.state.mn.us/sites/default/files/lraq-2sy15.pdf</w:t>
        </w:r>
      </w:hyperlink>
      <w:r w:rsidRPr="00C327E5">
        <w:rPr>
          <w:color w:val="4C4C4C" w:themeColor="text2"/>
          <w:sz w:val="16"/>
          <w:szCs w:val="16"/>
        </w:rPr>
        <w:t>.</w:t>
      </w:r>
    </w:p>
  </w:endnote>
  <w:endnote w:id="28">
    <w:p w14:paraId="2B9049F9" w14:textId="35585AF3" w:rsidR="006506BB" w:rsidRPr="00C327E5" w:rsidRDefault="006506BB">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Utility Dive, “2016 State of the Electric Utility Survey,” 2016, </w:t>
      </w:r>
      <w:hyperlink r:id="rId22" w:history="1">
        <w:r w:rsidRPr="00C327E5">
          <w:rPr>
            <w:rStyle w:val="Hyperlink"/>
            <w:color w:val="4C4C4C" w:themeColor="text2"/>
            <w:sz w:val="16"/>
            <w:szCs w:val="16"/>
          </w:rPr>
          <w:t>https://s3.amazonaws.com/dive_assets/rlpsys/state_of_electric_utility_2016.pdf</w:t>
        </w:r>
      </w:hyperlink>
      <w:r w:rsidRPr="00C327E5">
        <w:rPr>
          <w:color w:val="4C4C4C" w:themeColor="text2"/>
          <w:sz w:val="16"/>
          <w:szCs w:val="16"/>
        </w:rPr>
        <w:t xml:space="preserve">. </w:t>
      </w:r>
    </w:p>
  </w:endnote>
  <w:endnote w:id="29">
    <w:p w14:paraId="6FCCE5B8" w14:textId="3FB40E89" w:rsidR="006506BB" w:rsidRPr="00C327E5" w:rsidRDefault="006506BB">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Jennifer Runyon, “Making Sense of the Tax Credit Extensions for Wind, Solar (and Bioenergy, Too),” Renewable Energy World, December 16, 2015, </w:t>
      </w:r>
      <w:hyperlink r:id="rId23" w:history="1">
        <w:r w:rsidRPr="00C327E5">
          <w:rPr>
            <w:rStyle w:val="Hyperlink"/>
            <w:color w:val="4C4C4C" w:themeColor="text2"/>
            <w:sz w:val="16"/>
            <w:szCs w:val="16"/>
          </w:rPr>
          <w:t>http://www.renewableenergyworld.com/articles/2015/12/making-sense-of-the-itc-extension-for-wind-solar-and-bioenergy-too.html</w:t>
        </w:r>
      </w:hyperlink>
      <w:r w:rsidRPr="00C327E5">
        <w:rPr>
          <w:color w:val="4C4C4C" w:themeColor="text2"/>
          <w:sz w:val="16"/>
          <w:szCs w:val="16"/>
        </w:rPr>
        <w:t>.</w:t>
      </w:r>
    </w:p>
  </w:endnote>
  <w:endnote w:id="30">
    <w:p w14:paraId="1012F90C" w14:textId="47D4670F" w:rsidR="006506BB" w:rsidRPr="00C327E5" w:rsidRDefault="006506BB">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“Mercury and Air Toxics Standards (MATS),” U.S. Environmental Protection Agency, February, 2016, https://www3.epa.gov/mats/. </w:t>
      </w:r>
    </w:p>
  </w:endnote>
  <w:endnote w:id="31">
    <w:p w14:paraId="40A5895B" w14:textId="77777777" w:rsidR="006506BB" w:rsidRPr="00C327E5" w:rsidRDefault="006506BB" w:rsidP="00E261CC">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“Minnesota State Profile and Energy Estimates,” U.S. Energy Information Administration, March 17, 2016, </w:t>
      </w:r>
      <w:hyperlink r:id="rId24" w:history="1">
        <w:r w:rsidRPr="00C327E5">
          <w:rPr>
            <w:rStyle w:val="Hyperlink"/>
            <w:rFonts w:eastAsia="Arial" w:cs="Arial"/>
            <w:color w:val="4C4C4C" w:themeColor="text2"/>
            <w:sz w:val="16"/>
            <w:szCs w:val="16"/>
          </w:rPr>
          <w:t>http://www.eia.gov/state/?sid=MN</w:t>
        </w:r>
      </w:hyperlink>
      <w:r w:rsidRPr="00C327E5">
        <w:rPr>
          <w:rStyle w:val="Hyperlink"/>
          <w:rFonts w:eastAsia="Arial" w:cs="Arial"/>
          <w:color w:val="4C4C4C" w:themeColor="text2"/>
          <w:sz w:val="16"/>
          <w:szCs w:val="16"/>
        </w:rPr>
        <w:t xml:space="preserve">. </w:t>
      </w:r>
      <w:r w:rsidRPr="00C327E5">
        <w:rPr>
          <w:color w:val="4C4C4C" w:themeColor="text2"/>
          <w:sz w:val="16"/>
          <w:szCs w:val="16"/>
        </w:rPr>
        <w:t xml:space="preserve"> </w:t>
      </w:r>
    </w:p>
  </w:endnote>
  <w:endnote w:id="32">
    <w:p w14:paraId="65751B7C" w14:textId="77777777" w:rsidR="006506BB" w:rsidRPr="00C327E5" w:rsidRDefault="006506BB" w:rsidP="00E261CC">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“Minnesota State Profile and Energy Estimates,” U.S. Energy Information Administration, March 17, 2016, </w:t>
      </w:r>
      <w:hyperlink r:id="rId25" w:history="1">
        <w:r w:rsidRPr="00C327E5">
          <w:rPr>
            <w:rStyle w:val="Hyperlink"/>
            <w:rFonts w:eastAsia="Arial" w:cs="Arial"/>
            <w:color w:val="4C4C4C" w:themeColor="text2"/>
            <w:sz w:val="16"/>
            <w:szCs w:val="16"/>
          </w:rPr>
          <w:t>http://www.eia.gov/state/?sid=MN</w:t>
        </w:r>
      </w:hyperlink>
      <w:r w:rsidRPr="00C327E5">
        <w:rPr>
          <w:rStyle w:val="Hyperlink"/>
          <w:rFonts w:eastAsia="Arial" w:cs="Arial"/>
          <w:color w:val="4C4C4C" w:themeColor="text2"/>
          <w:sz w:val="16"/>
          <w:szCs w:val="16"/>
        </w:rPr>
        <w:t xml:space="preserve">. </w:t>
      </w:r>
      <w:r w:rsidRPr="00C327E5">
        <w:rPr>
          <w:color w:val="4C4C4C" w:themeColor="text2"/>
          <w:sz w:val="16"/>
          <w:szCs w:val="16"/>
        </w:rPr>
        <w:t xml:space="preserve"> </w:t>
      </w:r>
    </w:p>
  </w:endnote>
  <w:endnote w:id="33">
    <w:p w14:paraId="698AEB6A" w14:textId="77777777" w:rsidR="006506BB" w:rsidRPr="00C327E5" w:rsidRDefault="006506BB" w:rsidP="00E261CC">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“Form EIA-923 detailed data,” U.S. Energy Information Administration, 2014, http://www.eia.gov/electricity/data/eia923/</w:t>
      </w:r>
    </w:p>
  </w:endnote>
  <w:endnote w:id="34">
    <w:p w14:paraId="2C146795" w14:textId="67ECDCE8" w:rsidR="006506BB" w:rsidRPr="00C327E5" w:rsidRDefault="006506BB" w:rsidP="00113AE1">
      <w:pPr>
        <w:rPr>
          <w:color w:val="4C4C4C" w:themeColor="text2"/>
          <w:sz w:val="16"/>
          <w:szCs w:val="16"/>
        </w:rPr>
      </w:pPr>
      <w:r w:rsidRPr="00C327E5">
        <w:rPr>
          <w:color w:val="4C4C4C" w:themeColor="text2"/>
          <w:sz w:val="16"/>
          <w:szCs w:val="16"/>
          <w:vertAlign w:val="superscript"/>
        </w:rPr>
        <w:endnoteRef/>
      </w:r>
      <w:r w:rsidRPr="00C327E5">
        <w:rPr>
          <w:color w:val="4C4C4C" w:themeColor="text2"/>
          <w:sz w:val="16"/>
          <w:szCs w:val="16"/>
        </w:rPr>
        <w:t xml:space="preserve"> “Minnesota State Profile and Energy Estimates,” U.S. Energy Information Administration, March 17, 2016, </w:t>
      </w:r>
      <w:hyperlink r:id="rId26" w:history="1">
        <w:r w:rsidRPr="00C327E5">
          <w:rPr>
            <w:rStyle w:val="Hyperlink"/>
            <w:rFonts w:eastAsia="Arial" w:cs="Arial"/>
            <w:color w:val="4C4C4C" w:themeColor="text2"/>
            <w:sz w:val="16"/>
            <w:szCs w:val="16"/>
          </w:rPr>
          <w:t>http://www.eia.gov/state/?sid=MN</w:t>
        </w:r>
      </w:hyperlink>
      <w:r w:rsidRPr="00C327E5">
        <w:rPr>
          <w:rStyle w:val="Hyperlink"/>
          <w:rFonts w:eastAsia="Arial" w:cs="Arial"/>
          <w:color w:val="4C4C4C" w:themeColor="text2"/>
          <w:sz w:val="16"/>
          <w:szCs w:val="16"/>
        </w:rPr>
        <w:t xml:space="preserve">. </w:t>
      </w:r>
      <w:r w:rsidRPr="00C327E5">
        <w:rPr>
          <w:color w:val="4C4C4C" w:themeColor="text2"/>
          <w:sz w:val="16"/>
          <w:szCs w:val="16"/>
        </w:rPr>
        <w:t xml:space="preserve"> </w:t>
      </w:r>
    </w:p>
  </w:endnote>
  <w:endnote w:id="35">
    <w:p w14:paraId="3B2FDFB2" w14:textId="444ED8F1" w:rsidR="006506BB" w:rsidRPr="00C327E5" w:rsidRDefault="006506BB" w:rsidP="00856307">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“21 percent of Minnesota’s electricity came from renewables in 2015,” Minnesota Department of Commerce, March 3, 2016, </w:t>
      </w:r>
      <w:hyperlink r:id="rId27" w:anchor="/list/appId//filterType//filterValue//page//sort//order/" w:history="1">
        <w:r w:rsidRPr="00C327E5">
          <w:rPr>
            <w:rStyle w:val="Hyperlink"/>
            <w:color w:val="4C4C4C" w:themeColor="text2"/>
            <w:sz w:val="16"/>
            <w:szCs w:val="16"/>
          </w:rPr>
          <w:t>http://mn.gov/commerce/media/news/index.jsp?id=17-156648#/list/appId//filterType//filterValue//page//sort//order/</w:t>
        </w:r>
      </w:hyperlink>
      <w:r w:rsidRPr="00C327E5">
        <w:rPr>
          <w:color w:val="4C4C4C" w:themeColor="text2"/>
          <w:sz w:val="16"/>
          <w:szCs w:val="16"/>
        </w:rPr>
        <w:t xml:space="preserve">. </w:t>
      </w:r>
    </w:p>
  </w:endnote>
  <w:endnote w:id="36">
    <w:p w14:paraId="36A58E60" w14:textId="77777777" w:rsidR="006506BB" w:rsidRPr="00C327E5" w:rsidRDefault="006506BB" w:rsidP="00856307">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“Minnesota State Profile and Energy Estimates,” U.S. Energy Information Administration, March 17, 2016, </w:t>
      </w:r>
      <w:hyperlink r:id="rId28" w:history="1">
        <w:r w:rsidRPr="00C327E5">
          <w:rPr>
            <w:rStyle w:val="Hyperlink"/>
            <w:rFonts w:eastAsia="Arial" w:cs="Arial"/>
            <w:color w:val="4C4C4C" w:themeColor="text2"/>
            <w:sz w:val="16"/>
            <w:szCs w:val="16"/>
          </w:rPr>
          <w:t>http://www.eia.gov/state/?sid=MN</w:t>
        </w:r>
      </w:hyperlink>
      <w:r w:rsidRPr="00C327E5">
        <w:rPr>
          <w:rStyle w:val="Hyperlink"/>
          <w:rFonts w:eastAsia="Arial" w:cs="Arial"/>
          <w:color w:val="4C4C4C" w:themeColor="text2"/>
          <w:sz w:val="16"/>
          <w:szCs w:val="16"/>
        </w:rPr>
        <w:t xml:space="preserve">. </w:t>
      </w:r>
      <w:r w:rsidRPr="00C327E5">
        <w:rPr>
          <w:color w:val="4C4C4C" w:themeColor="text2"/>
          <w:sz w:val="16"/>
          <w:szCs w:val="16"/>
        </w:rPr>
        <w:t xml:space="preserve"> </w:t>
      </w:r>
    </w:p>
  </w:endnote>
  <w:endnote w:id="37">
    <w:p w14:paraId="4EA09A09" w14:textId="3AF2F7CE" w:rsidR="006506BB" w:rsidRPr="00C327E5" w:rsidRDefault="006506BB" w:rsidP="004805EE">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“Rankings: Total Energy Consumed per Capita, 2013,” U.S. Energy Information Administration, March 17, 2016, </w:t>
      </w:r>
      <w:hyperlink r:id="rId29" w:history="1">
        <w:r w:rsidRPr="00C327E5">
          <w:rPr>
            <w:rStyle w:val="Hyperlink"/>
            <w:rFonts w:eastAsia="Arial" w:cs="Arial"/>
            <w:color w:val="4C4C4C" w:themeColor="text2"/>
            <w:sz w:val="16"/>
            <w:szCs w:val="16"/>
          </w:rPr>
          <w:t>https://www.eia.gov/state/rankings/</w:t>
        </w:r>
      </w:hyperlink>
      <w:r w:rsidRPr="00C327E5">
        <w:rPr>
          <w:rStyle w:val="Hyperlink"/>
          <w:rFonts w:eastAsia="Arial" w:cs="Arial"/>
          <w:color w:val="4C4C4C" w:themeColor="text2"/>
          <w:sz w:val="16"/>
          <w:szCs w:val="16"/>
        </w:rPr>
        <w:t xml:space="preserve">. </w:t>
      </w:r>
      <w:r w:rsidRPr="00C327E5">
        <w:rPr>
          <w:color w:val="4C4C4C" w:themeColor="text2"/>
          <w:sz w:val="16"/>
          <w:szCs w:val="16"/>
        </w:rPr>
        <w:t xml:space="preserve"> </w:t>
      </w:r>
    </w:p>
  </w:endnote>
  <w:endnote w:id="38">
    <w:p w14:paraId="183C87D9" w14:textId="77777777" w:rsidR="006506BB" w:rsidRPr="00C327E5" w:rsidRDefault="006506BB" w:rsidP="004805EE">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w:t>
      </w:r>
      <w:r w:rsidRPr="00C327E5">
        <w:rPr>
          <w:rFonts w:cs="Cambria"/>
          <w:color w:val="4C4C4C" w:themeColor="text2"/>
          <w:sz w:val="16"/>
          <w:szCs w:val="16"/>
        </w:rPr>
        <w:t xml:space="preserve">Minnesota is ranked third for the coldest winters in the U.S based off average winter temperatures between 1971 and 2000 from the NOAA's National Climatic Data Center </w:t>
      </w:r>
      <w:hyperlink r:id="rId30" w:history="1">
        <w:r w:rsidRPr="00C327E5">
          <w:rPr>
            <w:rStyle w:val="Hyperlink"/>
            <w:rFonts w:cs="Cambria"/>
            <w:color w:val="4C4C4C" w:themeColor="text2"/>
            <w:sz w:val="16"/>
            <w:szCs w:val="16"/>
          </w:rPr>
          <w:t>http://www.wdsu.com/weather/states-with-the-coldest-winters/22668580</w:t>
        </w:r>
      </w:hyperlink>
      <w:r w:rsidRPr="00C327E5">
        <w:rPr>
          <w:rFonts w:cs="Arial"/>
          <w:color w:val="4C4C4C" w:themeColor="text2"/>
          <w:sz w:val="16"/>
          <w:szCs w:val="16"/>
          <w:shd w:val="clear" w:color="auto" w:fill="000000"/>
        </w:rPr>
        <w:t xml:space="preserve"> </w:t>
      </w:r>
    </w:p>
  </w:endnote>
  <w:endnote w:id="39">
    <w:p w14:paraId="5347A9F8" w14:textId="224C96E2" w:rsidR="006506BB" w:rsidRPr="00C327E5" w:rsidRDefault="006506BB">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“Population Estimates: Historical Data,” U.S. Census Bureau, April 15, 2016, </w:t>
      </w:r>
      <w:hyperlink r:id="rId31" w:history="1">
        <w:r w:rsidRPr="00C327E5">
          <w:rPr>
            <w:rStyle w:val="Hyperlink"/>
            <w:color w:val="4C4C4C" w:themeColor="text2"/>
            <w:sz w:val="16"/>
            <w:szCs w:val="16"/>
          </w:rPr>
          <w:t>http://www.census.gov/popest/data/historical/index.html</w:t>
        </w:r>
      </w:hyperlink>
      <w:r w:rsidRPr="00C327E5">
        <w:rPr>
          <w:color w:val="4C4C4C" w:themeColor="text2"/>
          <w:sz w:val="16"/>
          <w:szCs w:val="16"/>
        </w:rPr>
        <w:t xml:space="preserve"> </w:t>
      </w:r>
    </w:p>
  </w:endnote>
  <w:endnote w:id="40">
    <w:p w14:paraId="0E871B93" w14:textId="77777777" w:rsidR="006506BB" w:rsidRPr="00C327E5" w:rsidRDefault="006506BB" w:rsidP="003F5610">
      <w:pPr>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“Greenhouse gas emissions data,” Minnesota Pollution Control Agency, accessed March 17, 2016, </w:t>
      </w:r>
      <w:hyperlink r:id="rId32" w:history="1">
        <w:r w:rsidRPr="00C327E5">
          <w:rPr>
            <w:rStyle w:val="Hyperlink"/>
            <w:color w:val="4C4C4C" w:themeColor="text2"/>
            <w:sz w:val="16"/>
            <w:szCs w:val="16"/>
          </w:rPr>
          <w:t>https://www.pca.state.mn.us/air/greenhouse-gas-emissions-data</w:t>
        </w:r>
      </w:hyperlink>
      <w:r w:rsidRPr="00C327E5">
        <w:rPr>
          <w:color w:val="4C4C4C" w:themeColor="text2"/>
          <w:sz w:val="16"/>
          <w:szCs w:val="16"/>
        </w:rPr>
        <w:t xml:space="preserve">. </w:t>
      </w:r>
    </w:p>
  </w:endnote>
  <w:endnote w:id="41">
    <w:p w14:paraId="31F68349" w14:textId="1BAC4483" w:rsidR="006506BB" w:rsidRPr="00C327E5" w:rsidRDefault="006506BB">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“Average utilization for natural gas combined-cycle plants exceeded coal plants in 2015,” U.S. Energy Information Administration, April 4, 2016, </w:t>
      </w:r>
      <w:hyperlink r:id="rId33" w:history="1">
        <w:r w:rsidRPr="00C327E5">
          <w:rPr>
            <w:rStyle w:val="Hyperlink"/>
            <w:color w:val="4C4C4C" w:themeColor="text2"/>
            <w:sz w:val="16"/>
            <w:szCs w:val="16"/>
          </w:rPr>
          <w:t>https://www.eia.gov/todayinenergy/detail.cfm?id=25652</w:t>
        </w:r>
      </w:hyperlink>
      <w:r w:rsidRPr="00C327E5">
        <w:rPr>
          <w:color w:val="4C4C4C" w:themeColor="text2"/>
          <w:sz w:val="16"/>
          <w:szCs w:val="16"/>
        </w:rPr>
        <w:t xml:space="preserve"> </w:t>
      </w:r>
    </w:p>
  </w:endnote>
  <w:endnote w:id="42">
    <w:p w14:paraId="44B5981D" w14:textId="62B60B57" w:rsidR="006506BB" w:rsidRPr="00C327E5" w:rsidRDefault="006506BB" w:rsidP="009A4334">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Lazard, “Lazard’s </w:t>
      </w:r>
      <w:proofErr w:type="spellStart"/>
      <w:r w:rsidRPr="00C327E5">
        <w:rPr>
          <w:color w:val="4C4C4C" w:themeColor="text2"/>
          <w:sz w:val="16"/>
          <w:szCs w:val="16"/>
        </w:rPr>
        <w:t>Levelized</w:t>
      </w:r>
      <w:proofErr w:type="spellEnd"/>
      <w:r w:rsidRPr="00C327E5">
        <w:rPr>
          <w:color w:val="4C4C4C" w:themeColor="text2"/>
          <w:sz w:val="16"/>
          <w:szCs w:val="16"/>
        </w:rPr>
        <w:t xml:space="preserve"> Cost of Energy Analysis—Version 9.0,” 2015, </w:t>
      </w:r>
      <w:hyperlink r:id="rId34" w:history="1">
        <w:r w:rsidRPr="00C327E5">
          <w:rPr>
            <w:rStyle w:val="Hyperlink"/>
            <w:color w:val="4C4C4C" w:themeColor="text2"/>
            <w:sz w:val="16"/>
            <w:szCs w:val="16"/>
          </w:rPr>
          <w:t>https://www.lazard.com/perspective/levelized-cost-of-energy-analysis-90/</w:t>
        </w:r>
      </w:hyperlink>
      <w:r w:rsidRPr="00C327E5">
        <w:rPr>
          <w:color w:val="4C4C4C" w:themeColor="text2"/>
          <w:sz w:val="16"/>
          <w:szCs w:val="16"/>
        </w:rPr>
        <w:t>.</w:t>
      </w:r>
    </w:p>
  </w:endnote>
  <w:endnote w:id="43">
    <w:p w14:paraId="02BEA0F4" w14:textId="77777777" w:rsidR="006506BB" w:rsidRPr="00C327E5" w:rsidRDefault="006506BB" w:rsidP="00F82D2C">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Jennifer Runyon, “Making Sense of the Tax Credit Extensions for Wind, Solar (and Bioenergy, Too),” Renewable Energy World, December 16, 2015, </w:t>
      </w:r>
      <w:hyperlink r:id="rId35" w:history="1">
        <w:r w:rsidRPr="00C327E5">
          <w:rPr>
            <w:rStyle w:val="Hyperlink"/>
            <w:color w:val="4C4C4C" w:themeColor="text2"/>
            <w:sz w:val="16"/>
            <w:szCs w:val="16"/>
          </w:rPr>
          <w:t>http://www.renewableenergyworld.com/articles/2015/12/making-sense-of-the-itc-extension-for-wind-solar-and-bioenergy-too.html</w:t>
        </w:r>
      </w:hyperlink>
      <w:r w:rsidRPr="00C327E5">
        <w:rPr>
          <w:color w:val="4C4C4C" w:themeColor="text2"/>
          <w:sz w:val="16"/>
          <w:szCs w:val="16"/>
        </w:rPr>
        <w:t xml:space="preserve">. </w:t>
      </w:r>
    </w:p>
  </w:endnote>
  <w:endnote w:id="44">
    <w:p w14:paraId="5C7902DF" w14:textId="77777777" w:rsidR="006506BB" w:rsidRPr="00C327E5" w:rsidRDefault="006506BB" w:rsidP="00F82D2C">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“Mercury and Air Toxics Standards (MATS),” U.S. Environmental Protection Agency, February, 2016, https://www3.epa.gov/mats/.</w:t>
      </w:r>
    </w:p>
  </w:endnote>
  <w:endnote w:id="45">
    <w:p w14:paraId="297019E7" w14:textId="77777777" w:rsidR="006506BB" w:rsidRPr="00C327E5" w:rsidRDefault="006506BB" w:rsidP="00F82D2C">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w:t>
      </w:r>
      <w:proofErr w:type="spellStart"/>
      <w:r w:rsidRPr="00C327E5">
        <w:rPr>
          <w:color w:val="4C4C4C" w:themeColor="text2"/>
          <w:sz w:val="16"/>
          <w:szCs w:val="16"/>
        </w:rPr>
        <w:t>Metin</w:t>
      </w:r>
      <w:proofErr w:type="spellEnd"/>
      <w:r w:rsidRPr="00C327E5">
        <w:rPr>
          <w:color w:val="4C4C4C" w:themeColor="text2"/>
          <w:sz w:val="16"/>
          <w:szCs w:val="16"/>
        </w:rPr>
        <w:t xml:space="preserve"> </w:t>
      </w:r>
      <w:proofErr w:type="spellStart"/>
      <w:r w:rsidRPr="00C327E5">
        <w:rPr>
          <w:color w:val="4C4C4C" w:themeColor="text2"/>
          <w:sz w:val="16"/>
          <w:szCs w:val="16"/>
        </w:rPr>
        <w:t>Celebi</w:t>
      </w:r>
      <w:proofErr w:type="spellEnd"/>
      <w:r w:rsidRPr="00C327E5">
        <w:rPr>
          <w:color w:val="4C4C4C" w:themeColor="text2"/>
          <w:sz w:val="16"/>
          <w:szCs w:val="16"/>
        </w:rPr>
        <w:t xml:space="preserve">, “Coal Plant Retirements an Market Impacts,” The Brattle Group, February 2014, </w:t>
      </w:r>
      <w:hyperlink r:id="rId36" w:history="1">
        <w:r w:rsidRPr="00C327E5">
          <w:rPr>
            <w:rStyle w:val="Hyperlink"/>
            <w:color w:val="4C4C4C" w:themeColor="text2"/>
            <w:sz w:val="16"/>
            <w:szCs w:val="16"/>
          </w:rPr>
          <w:t>http://www.brattle.com/system/publications/pdfs/000/004/982/original/Coal_Plant_Retirements_and_Market_Impacts.pdf?1391611874</w:t>
        </w:r>
      </w:hyperlink>
      <w:r w:rsidRPr="00C327E5">
        <w:rPr>
          <w:color w:val="4C4C4C" w:themeColor="text2"/>
          <w:sz w:val="16"/>
          <w:szCs w:val="16"/>
        </w:rPr>
        <w:t xml:space="preserve">. </w:t>
      </w:r>
    </w:p>
  </w:endnote>
  <w:endnote w:id="46">
    <w:p w14:paraId="7B42E3E1" w14:textId="615E2BFA" w:rsidR="006506BB" w:rsidRPr="00C327E5" w:rsidRDefault="006506BB" w:rsidP="0021157D">
      <w:pPr>
        <w:rPr>
          <w:rFonts w:eastAsia="Times New Roman" w:cs="Times New Roman"/>
          <w:color w:val="4C4C4C" w:themeColor="text2"/>
          <w:sz w:val="16"/>
          <w:szCs w:val="16"/>
          <w:lang w:eastAsia="en-US"/>
        </w:rPr>
      </w:pPr>
      <w:r w:rsidRPr="00C327E5">
        <w:rPr>
          <w:rStyle w:val="EndnoteReference"/>
          <w:color w:val="4C4C4C" w:themeColor="text2"/>
          <w:sz w:val="16"/>
          <w:szCs w:val="16"/>
        </w:rPr>
        <w:endnoteRef/>
      </w:r>
      <w:r w:rsidRPr="00C327E5">
        <w:rPr>
          <w:color w:val="4C4C4C" w:themeColor="text2"/>
          <w:sz w:val="16"/>
          <w:szCs w:val="16"/>
        </w:rPr>
        <w:t xml:space="preserve"> </w:t>
      </w:r>
      <w:r w:rsidRPr="00C327E5">
        <w:rPr>
          <w:rFonts w:eastAsia="Times New Roman" w:cs="Arial"/>
          <w:color w:val="4C4C4C" w:themeColor="text2"/>
          <w:sz w:val="16"/>
          <w:szCs w:val="16"/>
          <w:shd w:val="clear" w:color="auto" w:fill="FFFFFF"/>
          <w:lang w:eastAsia="en-US"/>
        </w:rPr>
        <w:t xml:space="preserve">"State energy factsheet: Minnesota," Bloomberg New Energy Finance, April 2015, http://www.bcse.org/images/2015Factbook/BNEF%20BCSE%20Minnesota%20Energy%20Factsheet.pdf </w:t>
      </w:r>
    </w:p>
  </w:endnote>
  <w:endnote w:id="47">
    <w:p w14:paraId="5620A017" w14:textId="06781543" w:rsidR="006506BB" w:rsidRPr="00C327E5" w:rsidRDefault="006506BB" w:rsidP="00C17A60">
      <w:pPr>
        <w:rPr>
          <w:rFonts w:eastAsia="Times New Roman" w:cs="Times New Roman"/>
          <w:color w:val="4C4C4C" w:themeColor="text2"/>
          <w:sz w:val="16"/>
          <w:szCs w:val="16"/>
          <w:lang w:eastAsia="en-US"/>
        </w:rPr>
      </w:pPr>
      <w:r w:rsidRPr="00C327E5">
        <w:rPr>
          <w:rStyle w:val="EndnoteReference"/>
          <w:color w:val="4C4C4C" w:themeColor="text2"/>
          <w:sz w:val="16"/>
          <w:szCs w:val="16"/>
        </w:rPr>
        <w:endnoteRef/>
      </w:r>
      <w:r w:rsidRPr="00C327E5">
        <w:rPr>
          <w:rFonts w:eastAsia="Times New Roman" w:cs="Arial"/>
          <w:color w:val="4C4C4C" w:themeColor="text2"/>
          <w:sz w:val="16"/>
          <w:szCs w:val="16"/>
          <w:shd w:val="clear" w:color="auto" w:fill="FFFFFF"/>
          <w:lang w:eastAsia="en-US"/>
        </w:rPr>
        <w:t>"Report: Minnesota Has the Tools to Meet EPA Power Plant Standards," Bloomberg New Energy Finance and The Business Council for Sustainable Energy, April 28, 2015, http://www.bcse.org/images/2015Press/BCSE%20BNEF%20MN%20Factbook%20Press%20Release%204.28.15_FNL.pdf</w:t>
      </w:r>
    </w:p>
  </w:endnote>
  <w:endnote w:id="48">
    <w:p w14:paraId="275205FA" w14:textId="77777777" w:rsidR="006506BB" w:rsidRPr="00C327E5" w:rsidRDefault="006506BB" w:rsidP="00036003">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Environmental and Energy Study Institute, “Fact Sheet: Vehicle Efficiency and Emissions Standards,” August 2015, </w:t>
      </w:r>
      <w:hyperlink r:id="rId37" w:history="1">
        <w:r w:rsidRPr="00C327E5">
          <w:rPr>
            <w:rStyle w:val="Hyperlink"/>
            <w:color w:val="4C4C4C" w:themeColor="text2"/>
            <w:sz w:val="16"/>
            <w:szCs w:val="16"/>
          </w:rPr>
          <w:t>http://www.eesi.org/files/FactSheet_Vehicle_Emissions_081815.pdf</w:t>
        </w:r>
      </w:hyperlink>
      <w:r w:rsidRPr="00C327E5">
        <w:rPr>
          <w:color w:val="4C4C4C" w:themeColor="text2"/>
          <w:sz w:val="16"/>
          <w:szCs w:val="16"/>
        </w:rPr>
        <w:t>.</w:t>
      </w:r>
    </w:p>
  </w:endnote>
  <w:endnote w:id="49">
    <w:p w14:paraId="79BB15A6" w14:textId="520FEB4C" w:rsidR="006506BB" w:rsidRPr="00C327E5" w:rsidRDefault="006506BB" w:rsidP="00874B15">
      <w:pPr>
        <w:rPr>
          <w:color w:val="4C4C4C" w:themeColor="text2"/>
          <w:sz w:val="16"/>
          <w:szCs w:val="16"/>
        </w:rPr>
      </w:pPr>
      <w:r w:rsidRPr="00C327E5">
        <w:rPr>
          <w:color w:val="4C4C4C" w:themeColor="text2"/>
          <w:sz w:val="16"/>
          <w:szCs w:val="16"/>
          <w:vertAlign w:val="superscript"/>
        </w:rPr>
        <w:endnoteRef/>
      </w:r>
      <w:r w:rsidRPr="00C327E5">
        <w:rPr>
          <w:color w:val="4C4C4C" w:themeColor="text2"/>
          <w:sz w:val="16"/>
          <w:szCs w:val="16"/>
        </w:rPr>
        <w:t xml:space="preserve"> “2015 Minnesota Statutes,” The Office of the </w:t>
      </w:r>
      <w:proofErr w:type="spellStart"/>
      <w:r w:rsidRPr="00C327E5">
        <w:rPr>
          <w:color w:val="4C4C4C" w:themeColor="text2"/>
          <w:sz w:val="16"/>
          <w:szCs w:val="16"/>
        </w:rPr>
        <w:t>Revisor</w:t>
      </w:r>
      <w:proofErr w:type="spellEnd"/>
      <w:r w:rsidRPr="00C327E5">
        <w:rPr>
          <w:color w:val="4C4C4C" w:themeColor="text2"/>
          <w:sz w:val="16"/>
          <w:szCs w:val="16"/>
        </w:rPr>
        <w:t xml:space="preserve"> of Statutes, 2015, </w:t>
      </w:r>
      <w:hyperlink r:id="rId38">
        <w:r w:rsidRPr="00C327E5">
          <w:rPr>
            <w:color w:val="4C4C4C" w:themeColor="text2"/>
            <w:sz w:val="16"/>
            <w:szCs w:val="16"/>
            <w:u w:val="single"/>
          </w:rPr>
          <w:t>https://www.revisor.mn.gov/statutes/?id=216B.241</w:t>
        </w:r>
      </w:hyperlink>
      <w:r w:rsidRPr="00C327E5">
        <w:rPr>
          <w:color w:val="4C4C4C" w:themeColor="text2"/>
          <w:sz w:val="16"/>
          <w:szCs w:val="16"/>
        </w:rPr>
        <w:t xml:space="preserve"> </w:t>
      </w:r>
    </w:p>
  </w:endnote>
  <w:endnote w:id="50">
    <w:p w14:paraId="193A6AA8" w14:textId="77777777" w:rsidR="006506BB" w:rsidRPr="00C327E5" w:rsidRDefault="006506BB" w:rsidP="00874B15">
      <w:pPr>
        <w:rPr>
          <w:rFonts w:eastAsia="Times New Roman" w:cs="Times New Roman"/>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w:t>
      </w:r>
      <w:r w:rsidRPr="00C327E5">
        <w:rPr>
          <w:rFonts w:eastAsia="Times New Roman" w:cs="Times New Roman"/>
          <w:color w:val="4C4C4C" w:themeColor="text2"/>
          <w:sz w:val="16"/>
          <w:szCs w:val="16"/>
        </w:rPr>
        <w:t>A Report on the Impacts of the 2010-2014 Shared Savings Demand-Side Management (DSM) Financial Incentive on Investor-Owned Utility Conservation Achievements and Customer Costs,” Minnesota Department of Commerce, July 1, 2015,</w:t>
      </w:r>
    </w:p>
    <w:p w14:paraId="711A717D" w14:textId="77777777" w:rsidR="006506BB" w:rsidRPr="00C327E5" w:rsidRDefault="006506BB" w:rsidP="00874B15">
      <w:pPr>
        <w:pStyle w:val="EndnoteText"/>
        <w:rPr>
          <w:color w:val="4C4C4C" w:themeColor="text2"/>
          <w:sz w:val="16"/>
          <w:szCs w:val="16"/>
        </w:rPr>
      </w:pPr>
      <w:r w:rsidRPr="00C327E5">
        <w:rPr>
          <w:color w:val="4C4C4C" w:themeColor="text2"/>
          <w:sz w:val="16"/>
          <w:szCs w:val="16"/>
        </w:rPr>
        <w:t>https://www.edockets.state.mn.us/EFiling/edockets/searchDocuments.do?method=showPoup&amp;documentId=%7B9DF59F7B-19D8-4230-8475-4A14EE738326%7D&amp;documentTitle=20157-112050-01</w:t>
      </w:r>
    </w:p>
  </w:endnote>
  <w:endnote w:id="51">
    <w:p w14:paraId="1E0508B2" w14:textId="77777777" w:rsidR="006506BB" w:rsidRPr="00C327E5" w:rsidRDefault="006506BB" w:rsidP="00553A1C">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http://www.b3mn.org/  </w:t>
      </w:r>
    </w:p>
  </w:endnote>
  <w:endnote w:id="52">
    <w:p w14:paraId="24C509C0" w14:textId="77777777" w:rsidR="006506BB" w:rsidRPr="00C327E5" w:rsidRDefault="006506BB" w:rsidP="00A53585">
      <w:pPr>
        <w:rPr>
          <w:color w:val="4C4C4C" w:themeColor="text2"/>
          <w:sz w:val="16"/>
          <w:szCs w:val="16"/>
        </w:rPr>
      </w:pPr>
      <w:r w:rsidRPr="00C327E5">
        <w:rPr>
          <w:color w:val="4C4C4C" w:themeColor="text2"/>
          <w:sz w:val="16"/>
          <w:szCs w:val="16"/>
          <w:vertAlign w:val="superscript"/>
        </w:rPr>
        <w:endnoteRef/>
      </w:r>
      <w:r w:rsidRPr="00C327E5">
        <w:rPr>
          <w:color w:val="4C4C4C" w:themeColor="text2"/>
          <w:sz w:val="16"/>
          <w:szCs w:val="16"/>
        </w:rPr>
        <w:t xml:space="preserve"> </w:t>
      </w:r>
      <w:hyperlink r:id="rId39">
        <w:r w:rsidRPr="00C327E5">
          <w:rPr>
            <w:color w:val="4C4C4C" w:themeColor="text2"/>
            <w:sz w:val="16"/>
            <w:szCs w:val="16"/>
            <w:u w:val="single"/>
          </w:rPr>
          <w:t>http://www.b3mn.org/2030energystandard/</w:t>
        </w:r>
      </w:hyperlink>
      <w:r w:rsidRPr="00C327E5">
        <w:rPr>
          <w:color w:val="4C4C4C" w:themeColor="text2"/>
          <w:sz w:val="16"/>
          <w:szCs w:val="16"/>
        </w:rPr>
        <w:t xml:space="preserve"> </w:t>
      </w:r>
    </w:p>
  </w:endnote>
  <w:endnote w:id="53">
    <w:p w14:paraId="7BE6618B" w14:textId="77777777" w:rsidR="006506BB" w:rsidRPr="00C327E5" w:rsidRDefault="006506BB" w:rsidP="00AB37C1">
      <w:pPr>
        <w:rPr>
          <w:color w:val="4C4C4C" w:themeColor="text2"/>
          <w:sz w:val="16"/>
          <w:szCs w:val="16"/>
        </w:rPr>
      </w:pPr>
      <w:r w:rsidRPr="00C327E5">
        <w:rPr>
          <w:color w:val="4C4C4C" w:themeColor="text2"/>
          <w:sz w:val="16"/>
          <w:szCs w:val="16"/>
          <w:vertAlign w:val="superscript"/>
        </w:rPr>
        <w:endnoteRef/>
      </w:r>
      <w:r w:rsidRPr="00C327E5">
        <w:rPr>
          <w:color w:val="4C4C4C" w:themeColor="text2"/>
          <w:sz w:val="16"/>
          <w:szCs w:val="16"/>
        </w:rPr>
        <w:t xml:space="preserve"> “Renewable Energy Standard,” DSIRE, November 19, 2015, </w:t>
      </w:r>
      <w:hyperlink r:id="rId40">
        <w:r w:rsidRPr="00C327E5">
          <w:rPr>
            <w:color w:val="4C4C4C" w:themeColor="text2"/>
            <w:sz w:val="16"/>
            <w:szCs w:val="16"/>
            <w:u w:val="single"/>
          </w:rPr>
          <w:t>http://programs.dsireusa.org/system/program/detail/2401</w:t>
        </w:r>
      </w:hyperlink>
      <w:r w:rsidRPr="00C327E5">
        <w:rPr>
          <w:color w:val="4C4C4C" w:themeColor="text2"/>
          <w:sz w:val="16"/>
          <w:szCs w:val="16"/>
          <w:u w:val="single"/>
        </w:rPr>
        <w:t xml:space="preserve">. </w:t>
      </w:r>
      <w:r w:rsidRPr="00C327E5">
        <w:rPr>
          <w:color w:val="4C4C4C" w:themeColor="text2"/>
          <w:sz w:val="16"/>
          <w:szCs w:val="16"/>
        </w:rPr>
        <w:t xml:space="preserve"> </w:t>
      </w:r>
    </w:p>
  </w:endnote>
  <w:endnote w:id="54">
    <w:p w14:paraId="50390F9A" w14:textId="77777777" w:rsidR="006506BB" w:rsidRPr="00C327E5" w:rsidRDefault="006506BB" w:rsidP="00AB37C1">
      <w:pPr>
        <w:rPr>
          <w:color w:val="4C4C4C" w:themeColor="text2"/>
          <w:sz w:val="16"/>
          <w:szCs w:val="16"/>
        </w:rPr>
      </w:pPr>
      <w:r w:rsidRPr="00C327E5">
        <w:rPr>
          <w:color w:val="4C4C4C" w:themeColor="text2"/>
          <w:sz w:val="16"/>
          <w:szCs w:val="16"/>
          <w:vertAlign w:val="superscript"/>
        </w:rPr>
        <w:endnoteRef/>
      </w:r>
      <w:r w:rsidRPr="00C327E5">
        <w:rPr>
          <w:color w:val="4C4C4C" w:themeColor="text2"/>
          <w:sz w:val="16"/>
          <w:szCs w:val="16"/>
        </w:rPr>
        <w:t xml:space="preserve"> “Renewable Energy Standard,” DSIRE, November 19, 2015, </w:t>
      </w:r>
      <w:hyperlink r:id="rId41">
        <w:r w:rsidRPr="00C327E5">
          <w:rPr>
            <w:color w:val="4C4C4C" w:themeColor="text2"/>
            <w:sz w:val="16"/>
            <w:szCs w:val="16"/>
            <w:u w:val="single"/>
          </w:rPr>
          <w:t>http://programs.dsireusa.org/system/program/detail/2401</w:t>
        </w:r>
      </w:hyperlink>
      <w:r w:rsidRPr="00C327E5">
        <w:rPr>
          <w:color w:val="4C4C4C" w:themeColor="text2"/>
          <w:sz w:val="16"/>
          <w:szCs w:val="16"/>
          <w:u w:val="single"/>
        </w:rPr>
        <w:t xml:space="preserve">. </w:t>
      </w:r>
      <w:r w:rsidRPr="00C327E5">
        <w:rPr>
          <w:color w:val="4C4C4C" w:themeColor="text2"/>
          <w:sz w:val="16"/>
          <w:szCs w:val="16"/>
        </w:rPr>
        <w:t xml:space="preserve"> </w:t>
      </w:r>
    </w:p>
  </w:endnote>
  <w:endnote w:id="55">
    <w:p w14:paraId="38185565" w14:textId="77777777" w:rsidR="006506BB" w:rsidRPr="00C327E5" w:rsidRDefault="006506BB" w:rsidP="00AB37C1">
      <w:pPr>
        <w:rPr>
          <w:color w:val="4C4C4C" w:themeColor="text2"/>
          <w:sz w:val="16"/>
          <w:szCs w:val="16"/>
        </w:rPr>
      </w:pPr>
      <w:r w:rsidRPr="00C327E5">
        <w:rPr>
          <w:color w:val="4C4C4C" w:themeColor="text2"/>
          <w:sz w:val="16"/>
          <w:szCs w:val="16"/>
          <w:vertAlign w:val="superscript"/>
        </w:rPr>
        <w:endnoteRef/>
      </w:r>
      <w:r w:rsidRPr="00C327E5">
        <w:rPr>
          <w:color w:val="4C4C4C" w:themeColor="text2"/>
          <w:sz w:val="16"/>
          <w:szCs w:val="16"/>
        </w:rPr>
        <w:t xml:space="preserve"> </w:t>
      </w:r>
      <w:hyperlink r:id="rId42">
        <w:r w:rsidRPr="00C327E5">
          <w:rPr>
            <w:color w:val="4C4C4C" w:themeColor="text2"/>
            <w:sz w:val="16"/>
            <w:szCs w:val="16"/>
            <w:u w:val="single"/>
          </w:rPr>
          <w:t>https://www.edockets.state.mn.us/EFiling/edockets/searchDocuments.do?method=showPoup&amp;documentId={6B89F8ED-D5BA-4048-A4F8-2A3E8FF9F9ED}&amp;documentTitle=20158-113205-03</w:t>
        </w:r>
      </w:hyperlink>
      <w:r w:rsidRPr="00C327E5">
        <w:rPr>
          <w:color w:val="4C4C4C" w:themeColor="text2"/>
          <w:sz w:val="16"/>
          <w:szCs w:val="16"/>
        </w:rPr>
        <w:t xml:space="preserve"> </w:t>
      </w:r>
    </w:p>
  </w:endnote>
  <w:endnote w:id="56">
    <w:p w14:paraId="1890E45A" w14:textId="77777777" w:rsidR="006506BB" w:rsidRPr="00C327E5" w:rsidRDefault="006506BB" w:rsidP="00AB37C1">
      <w:pPr>
        <w:rPr>
          <w:color w:val="4C4C4C" w:themeColor="text2"/>
          <w:sz w:val="16"/>
          <w:szCs w:val="16"/>
        </w:rPr>
      </w:pPr>
      <w:r w:rsidRPr="00C327E5">
        <w:rPr>
          <w:color w:val="4C4C4C" w:themeColor="text2"/>
          <w:sz w:val="16"/>
          <w:szCs w:val="16"/>
          <w:vertAlign w:val="superscript"/>
        </w:rPr>
        <w:endnoteRef/>
      </w:r>
      <w:r w:rsidRPr="00C327E5">
        <w:rPr>
          <w:color w:val="4C4C4C" w:themeColor="text2"/>
          <w:sz w:val="16"/>
          <w:szCs w:val="16"/>
        </w:rPr>
        <w:t xml:space="preserve"> Elizabeth Dunbar, “Report: MN on track to exceed clean energy targets,” MPR News, August 13, 2015, </w:t>
      </w:r>
      <w:hyperlink r:id="rId43">
        <w:r w:rsidRPr="00C327E5">
          <w:rPr>
            <w:color w:val="4C4C4C" w:themeColor="text2"/>
            <w:sz w:val="16"/>
            <w:szCs w:val="16"/>
            <w:u w:val="single"/>
          </w:rPr>
          <w:t>http://www.mprnews.org/story/2015/08/13/minnesota-clean-energy-targets</w:t>
        </w:r>
      </w:hyperlink>
      <w:r w:rsidRPr="00C327E5">
        <w:rPr>
          <w:color w:val="4C4C4C" w:themeColor="text2"/>
          <w:sz w:val="16"/>
          <w:szCs w:val="16"/>
          <w:u w:val="single"/>
        </w:rPr>
        <w:t xml:space="preserve">. </w:t>
      </w:r>
      <w:r w:rsidRPr="00C327E5">
        <w:rPr>
          <w:color w:val="4C4C4C" w:themeColor="text2"/>
          <w:sz w:val="16"/>
          <w:szCs w:val="16"/>
        </w:rPr>
        <w:t xml:space="preserve"> </w:t>
      </w:r>
    </w:p>
  </w:endnote>
  <w:endnote w:id="57">
    <w:p w14:paraId="0BD1AAB6" w14:textId="77777777" w:rsidR="006506BB" w:rsidRPr="00C327E5" w:rsidRDefault="006506BB" w:rsidP="005925F4">
      <w:pPr>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“Renewable Energy Standard,” DSIRE, November 19, 2015, </w:t>
      </w:r>
      <w:hyperlink r:id="rId44">
        <w:r w:rsidRPr="00C327E5">
          <w:rPr>
            <w:color w:val="4C4C4C" w:themeColor="text2"/>
            <w:sz w:val="16"/>
            <w:szCs w:val="16"/>
            <w:u w:val="single"/>
          </w:rPr>
          <w:t>http://programs.dsireusa.org/system/program/detail/2401</w:t>
        </w:r>
      </w:hyperlink>
      <w:r w:rsidRPr="00C327E5">
        <w:rPr>
          <w:color w:val="4C4C4C" w:themeColor="text2"/>
          <w:sz w:val="16"/>
          <w:szCs w:val="16"/>
          <w:u w:val="single"/>
        </w:rPr>
        <w:t xml:space="preserve">. </w:t>
      </w:r>
      <w:r w:rsidRPr="00C327E5">
        <w:rPr>
          <w:color w:val="4C4C4C" w:themeColor="text2"/>
          <w:sz w:val="16"/>
          <w:szCs w:val="16"/>
        </w:rPr>
        <w:t xml:space="preserve"> </w:t>
      </w:r>
    </w:p>
  </w:endnote>
  <w:endnote w:id="58">
    <w:p w14:paraId="7A1C4B1A" w14:textId="77777777" w:rsidR="006506BB" w:rsidRPr="00C327E5" w:rsidRDefault="006506BB" w:rsidP="00B42802">
      <w:pPr>
        <w:rPr>
          <w:color w:val="4C4C4C" w:themeColor="text2"/>
          <w:sz w:val="16"/>
          <w:szCs w:val="16"/>
        </w:rPr>
      </w:pPr>
      <w:r w:rsidRPr="00C327E5">
        <w:rPr>
          <w:color w:val="4C4C4C" w:themeColor="text2"/>
          <w:sz w:val="16"/>
          <w:szCs w:val="16"/>
          <w:vertAlign w:val="superscript"/>
        </w:rPr>
        <w:endnoteRef/>
      </w:r>
      <w:r w:rsidRPr="00C327E5">
        <w:rPr>
          <w:color w:val="4C4C4C" w:themeColor="text2"/>
          <w:sz w:val="16"/>
          <w:szCs w:val="16"/>
        </w:rPr>
        <w:t xml:space="preserve"> </w:t>
      </w:r>
      <w:hyperlink r:id="rId45">
        <w:r w:rsidRPr="00C327E5">
          <w:rPr>
            <w:color w:val="4C4C4C" w:themeColor="text2"/>
            <w:sz w:val="16"/>
            <w:szCs w:val="16"/>
            <w:u w:val="single"/>
          </w:rPr>
          <w:t>https://www.revisor.mn.gov/statutes/?id=239.7911</w:t>
        </w:r>
      </w:hyperlink>
      <w:r w:rsidRPr="00C327E5">
        <w:rPr>
          <w:color w:val="4C4C4C" w:themeColor="text2"/>
          <w:sz w:val="16"/>
          <w:szCs w:val="16"/>
        </w:rPr>
        <w:t xml:space="preserve"> </w:t>
      </w:r>
    </w:p>
  </w:endnote>
  <w:endnote w:id="59">
    <w:p w14:paraId="2A7A0B2C" w14:textId="77777777" w:rsidR="006506BB" w:rsidRPr="00C327E5" w:rsidRDefault="006506BB" w:rsidP="00B42802">
      <w:pPr>
        <w:rPr>
          <w:color w:val="4C4C4C" w:themeColor="text2"/>
          <w:sz w:val="16"/>
          <w:szCs w:val="16"/>
        </w:rPr>
      </w:pPr>
      <w:r w:rsidRPr="00C327E5">
        <w:rPr>
          <w:color w:val="4C4C4C" w:themeColor="text2"/>
          <w:sz w:val="16"/>
          <w:szCs w:val="16"/>
          <w:vertAlign w:val="superscript"/>
        </w:rPr>
        <w:endnoteRef/>
      </w:r>
      <w:r w:rsidRPr="00C327E5">
        <w:rPr>
          <w:color w:val="4C4C4C" w:themeColor="text2"/>
          <w:sz w:val="16"/>
          <w:szCs w:val="16"/>
        </w:rPr>
        <w:t xml:space="preserve"> Minnesota Solar Energy Industries Association. “Made in Minnesota Solar Incentive Program for PV &amp; Thermal.”,” Minnesota Solar Energy Industries Association, 2014, </w:t>
      </w:r>
      <w:hyperlink r:id="rId46">
        <w:r w:rsidRPr="00C327E5">
          <w:rPr>
            <w:color w:val="4C4C4C" w:themeColor="text2"/>
            <w:sz w:val="16"/>
            <w:szCs w:val="16"/>
            <w:u w:val="single"/>
          </w:rPr>
          <w:t>http://www.mnseia.org/programs/made-in-minnesota</w:t>
        </w:r>
      </w:hyperlink>
      <w:r w:rsidRPr="00C327E5">
        <w:rPr>
          <w:color w:val="4C4C4C" w:themeColor="text2"/>
          <w:sz w:val="16"/>
          <w:szCs w:val="16"/>
          <w:u w:val="single"/>
        </w:rPr>
        <w:t xml:space="preserve">. </w:t>
      </w:r>
      <w:r w:rsidRPr="00C327E5">
        <w:rPr>
          <w:color w:val="4C4C4C" w:themeColor="text2"/>
          <w:sz w:val="16"/>
          <w:szCs w:val="16"/>
        </w:rPr>
        <w:t xml:space="preserve"> </w:t>
      </w:r>
      <w:hyperlink r:id="rId47"/>
    </w:p>
  </w:endnote>
  <w:endnote w:id="60">
    <w:p w14:paraId="270B7206" w14:textId="77777777" w:rsidR="006506BB" w:rsidRPr="00C327E5" w:rsidRDefault="006506BB" w:rsidP="00B42802">
      <w:pPr>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“Community solar gardens,” Clean Energy Resource Teams, accessed March 21, 2016, </w:t>
      </w:r>
      <w:hyperlink r:id="rId48" w:anchor="current" w:history="1">
        <w:r w:rsidRPr="00C327E5">
          <w:rPr>
            <w:rStyle w:val="Hyperlink"/>
            <w:color w:val="4C4C4C" w:themeColor="text2"/>
            <w:sz w:val="16"/>
            <w:szCs w:val="16"/>
          </w:rPr>
          <w:t>http://www.cleanenergyresourceteams.org/solargardens#current</w:t>
        </w:r>
      </w:hyperlink>
      <w:r w:rsidRPr="00C327E5">
        <w:rPr>
          <w:rStyle w:val="Hyperlink"/>
          <w:color w:val="4C4C4C" w:themeColor="text2"/>
          <w:sz w:val="16"/>
          <w:szCs w:val="16"/>
        </w:rPr>
        <w:t xml:space="preserve">. </w:t>
      </w:r>
      <w:r w:rsidRPr="00C327E5">
        <w:rPr>
          <w:color w:val="4C4C4C" w:themeColor="text2"/>
          <w:sz w:val="16"/>
          <w:szCs w:val="16"/>
        </w:rPr>
        <w:t xml:space="preserve">  </w:t>
      </w:r>
    </w:p>
  </w:endnote>
  <w:endnote w:id="61">
    <w:p w14:paraId="7D221E40" w14:textId="77777777" w:rsidR="006506BB" w:rsidRPr="00C327E5" w:rsidRDefault="006506BB" w:rsidP="00B42802">
      <w:pPr>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“Community solar gardens,” Clean Energy Resource Teams, accessed March 21, 2016, </w:t>
      </w:r>
      <w:hyperlink r:id="rId49" w:anchor="current" w:history="1">
        <w:r w:rsidRPr="00C327E5">
          <w:rPr>
            <w:rStyle w:val="Hyperlink"/>
            <w:color w:val="4C4C4C" w:themeColor="text2"/>
            <w:sz w:val="16"/>
            <w:szCs w:val="16"/>
          </w:rPr>
          <w:t>http://www.cleanenergyresourceteams.org/solargardens#current</w:t>
        </w:r>
      </w:hyperlink>
      <w:r w:rsidRPr="00C327E5">
        <w:rPr>
          <w:rStyle w:val="Hyperlink"/>
          <w:color w:val="4C4C4C" w:themeColor="text2"/>
          <w:sz w:val="16"/>
          <w:szCs w:val="16"/>
        </w:rPr>
        <w:t xml:space="preserve">. </w:t>
      </w:r>
      <w:r w:rsidRPr="00C327E5">
        <w:rPr>
          <w:color w:val="4C4C4C" w:themeColor="text2"/>
          <w:sz w:val="16"/>
          <w:szCs w:val="16"/>
        </w:rPr>
        <w:t xml:space="preserve"> </w:t>
      </w:r>
    </w:p>
  </w:endnote>
  <w:endnote w:id="62">
    <w:p w14:paraId="20EF87CB" w14:textId="77777777" w:rsidR="006506BB" w:rsidRPr="00C327E5" w:rsidRDefault="006506BB" w:rsidP="00B42802">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Frank </w:t>
      </w:r>
      <w:proofErr w:type="spellStart"/>
      <w:r w:rsidRPr="00C327E5">
        <w:rPr>
          <w:color w:val="4C4C4C" w:themeColor="text2"/>
          <w:sz w:val="16"/>
          <w:szCs w:val="16"/>
        </w:rPr>
        <w:t>Jossi</w:t>
      </w:r>
      <w:proofErr w:type="spellEnd"/>
      <w:r w:rsidRPr="00C327E5">
        <w:rPr>
          <w:color w:val="4C4C4C" w:themeColor="text2"/>
          <w:sz w:val="16"/>
          <w:szCs w:val="16"/>
        </w:rPr>
        <w:t xml:space="preserve">, “A year after launch, community solar picking up pace in Minnesota,” Midwest Energy News, December 11, 2015, </w:t>
      </w:r>
      <w:hyperlink r:id="rId50" w:history="1">
        <w:r w:rsidRPr="00C327E5">
          <w:rPr>
            <w:rStyle w:val="Hyperlink"/>
            <w:color w:val="4C4C4C" w:themeColor="text2"/>
            <w:sz w:val="16"/>
            <w:szCs w:val="16"/>
          </w:rPr>
          <w:t>http://midwestenergynews.com/2015/12/11/a-year-after-launch-community-solar-picking-up-pace-in-minnesota/</w:t>
        </w:r>
      </w:hyperlink>
      <w:r w:rsidRPr="00C327E5">
        <w:rPr>
          <w:rStyle w:val="Hyperlink"/>
          <w:color w:val="4C4C4C" w:themeColor="text2"/>
          <w:sz w:val="16"/>
          <w:szCs w:val="16"/>
        </w:rPr>
        <w:t xml:space="preserve">. </w:t>
      </w:r>
      <w:r w:rsidRPr="00C327E5">
        <w:rPr>
          <w:color w:val="4C4C4C" w:themeColor="text2"/>
          <w:sz w:val="16"/>
          <w:szCs w:val="16"/>
        </w:rPr>
        <w:t xml:space="preserve"> </w:t>
      </w:r>
    </w:p>
  </w:endnote>
  <w:endnote w:id="63">
    <w:p w14:paraId="418B7E0D" w14:textId="77777777" w:rsidR="006506BB" w:rsidRPr="00C327E5" w:rsidRDefault="006506BB" w:rsidP="00617548">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“e21 Initiative,” Great Plains Institute, 2013, </w:t>
      </w:r>
      <w:hyperlink r:id="rId51" w:history="1">
        <w:r w:rsidRPr="00C327E5">
          <w:rPr>
            <w:rStyle w:val="Hyperlink"/>
            <w:color w:val="4C4C4C" w:themeColor="text2"/>
            <w:sz w:val="16"/>
            <w:szCs w:val="16"/>
          </w:rPr>
          <w:t>http://www.betterenergy.org/projects/e21-initiative</w:t>
        </w:r>
      </w:hyperlink>
      <w:r w:rsidRPr="00C327E5">
        <w:rPr>
          <w:color w:val="4C4C4C" w:themeColor="text2"/>
          <w:sz w:val="16"/>
          <w:szCs w:val="16"/>
        </w:rPr>
        <w:t xml:space="preserve">. </w:t>
      </w:r>
    </w:p>
  </w:endnote>
  <w:endnote w:id="64">
    <w:p w14:paraId="1F6FA093" w14:textId="77777777" w:rsidR="006506BB" w:rsidRPr="00C327E5" w:rsidRDefault="006506BB" w:rsidP="00617548">
      <w:pPr>
        <w:pStyle w:val="EndnoteText"/>
        <w:rPr>
          <w:color w:val="4C4C4C" w:themeColor="text2"/>
          <w:sz w:val="16"/>
          <w:szCs w:val="16"/>
        </w:rPr>
      </w:pPr>
      <w:r w:rsidRPr="00C327E5">
        <w:rPr>
          <w:rStyle w:val="EndnoteReference"/>
          <w:color w:val="4C4C4C" w:themeColor="text2"/>
          <w:sz w:val="16"/>
          <w:szCs w:val="16"/>
        </w:rPr>
        <w:endnoteRef/>
      </w:r>
      <w:r w:rsidRPr="00C327E5">
        <w:rPr>
          <w:color w:val="4C4C4C" w:themeColor="text2"/>
          <w:sz w:val="16"/>
          <w:szCs w:val="16"/>
        </w:rPr>
        <w:t xml:space="preserve"> Docket number </w:t>
      </w:r>
      <w:hyperlink r:id="rId52" w:history="1">
        <w:r w:rsidRPr="00C327E5">
          <w:rPr>
            <w:rStyle w:val="Hyperlink"/>
            <w:color w:val="4C4C4C" w:themeColor="text2"/>
            <w:sz w:val="16"/>
            <w:szCs w:val="16"/>
          </w:rPr>
          <w:t>15-556</w:t>
        </w:r>
      </w:hyperlink>
    </w:p>
  </w:endnote>
  <w:endnote w:id="65">
    <w:p w14:paraId="186FF7CE" w14:textId="77777777" w:rsidR="006506BB" w:rsidRPr="00200610" w:rsidRDefault="006506BB" w:rsidP="00617548">
      <w:pPr>
        <w:rPr>
          <w:sz w:val="16"/>
          <w:szCs w:val="16"/>
        </w:rPr>
      </w:pPr>
      <w:r w:rsidRPr="00C327E5">
        <w:rPr>
          <w:rStyle w:val="EndnoteReference"/>
          <w:color w:val="4C4C4C" w:themeColor="text2"/>
          <w:sz w:val="16"/>
          <w:szCs w:val="16"/>
        </w:rPr>
        <w:endnoteRef/>
      </w:r>
      <w:r w:rsidRPr="00C327E5">
        <w:rPr>
          <w:color w:val="4C4C4C" w:themeColor="text2"/>
          <w:sz w:val="16"/>
          <w:szCs w:val="16"/>
        </w:rPr>
        <w:t xml:space="preserve"> http://mn.gov/commerce/industries/energy/distributed-energy/mrits.jsp</w:t>
      </w:r>
    </w:p>
  </w:endnote>
  <w:endnote w:id="66">
    <w:p w14:paraId="454E1E86"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LHB analysis EIALLNL, https://flowcharts.llnl.gov/content/assets/images/charts/Energy/Energy_2012_United-States_MN.png</w:t>
      </w:r>
    </w:p>
  </w:endnote>
  <w:endnote w:id="67">
    <w:p w14:paraId="60F5CA07" w14:textId="77777777" w:rsidR="006506BB" w:rsidRPr="00795CAC" w:rsidRDefault="006506BB" w:rsidP="00F655E6">
      <w:pPr>
        <w:pStyle w:val="EndnoteText"/>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w:t>
      </w:r>
      <w:r w:rsidRPr="00795CAC">
        <w:rPr>
          <w:color w:val="4C4C4C" w:themeColor="text2"/>
          <w:sz w:val="16"/>
          <w:szCs w:val="16"/>
          <w:lang w:val="it-IT"/>
        </w:rPr>
        <w:t xml:space="preserve">MPCA: </w:t>
      </w:r>
      <w:r>
        <w:fldChar w:fldCharType="begin"/>
      </w:r>
      <w:r>
        <w:instrText xml:space="preserve"> HYPERLINK "https://www.pca.state.mn.us/sites/default/files/lraq-2sy15.pdf" </w:instrText>
      </w:r>
      <w:r>
        <w:fldChar w:fldCharType="separate"/>
      </w:r>
      <w:r w:rsidRPr="00795CAC">
        <w:rPr>
          <w:rStyle w:val="Hyperlink"/>
          <w:color w:val="4C4C4C" w:themeColor="text2"/>
          <w:sz w:val="16"/>
          <w:szCs w:val="16"/>
          <w:lang w:val="it-IT"/>
        </w:rPr>
        <w:t>https://www.pca.state.mn.us/sites/default/files/lraq-2sy15.pdf</w:t>
      </w:r>
      <w:r>
        <w:rPr>
          <w:rStyle w:val="Hyperlink"/>
          <w:color w:val="4C4C4C" w:themeColor="text2"/>
          <w:sz w:val="16"/>
          <w:szCs w:val="16"/>
          <w:lang w:val="it-IT"/>
        </w:rPr>
        <w:fldChar w:fldCharType="end"/>
      </w:r>
      <w:r w:rsidRPr="00795CAC">
        <w:rPr>
          <w:color w:val="4C4C4C" w:themeColor="text2"/>
          <w:sz w:val="16"/>
          <w:szCs w:val="16"/>
          <w:lang w:val="it-IT"/>
        </w:rPr>
        <w:t xml:space="preserve"> </w:t>
      </w:r>
    </w:p>
  </w:endnote>
  <w:endnote w:id="68">
    <w:p w14:paraId="50545618" w14:textId="77777777" w:rsidR="006506BB" w:rsidRPr="00795CAC" w:rsidRDefault="006506BB" w:rsidP="00F655E6">
      <w:pPr>
        <w:pStyle w:val="EndnoteText"/>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EIA: http://www.eia.gov/state/seds/data.cfm?incfile=/state/seds/sep_fuel/html/fuel_te.html&amp;sid=US&amp;sid=MN</w:t>
      </w:r>
    </w:p>
  </w:endnote>
  <w:endnote w:id="69">
    <w:p w14:paraId="4E77B19B" w14:textId="77777777" w:rsidR="006506BB" w:rsidRPr="00795CAC" w:rsidRDefault="006506BB" w:rsidP="00F655E6">
      <w:pPr>
        <w:pStyle w:val="EndnoteText"/>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w:t>
      </w:r>
      <w:hyperlink r:id="rId53">
        <w:r w:rsidRPr="00795CAC">
          <w:rPr>
            <w:color w:val="4C4C4C" w:themeColor="text2"/>
            <w:sz w:val="16"/>
            <w:szCs w:val="16"/>
          </w:rPr>
          <w:t xml:space="preserve">“2015 Transportation Profiles,” U.S. Department of Transportation Federal Highway Administration, October 19, 2015, </w:t>
        </w:r>
        <w:r w:rsidRPr="00795CAC">
          <w:rPr>
            <w:color w:val="4C4C4C" w:themeColor="text2"/>
            <w:sz w:val="16"/>
            <w:szCs w:val="16"/>
            <w:u w:val="single"/>
          </w:rPr>
          <w:t>http://www.fhwa.dot.gov/planning/census_issues/american_community_survey/products/2015_transportation_profiles/state/profile_minnesota.cfm</w:t>
        </w:r>
      </w:hyperlink>
      <w:r w:rsidRPr="00795CAC">
        <w:rPr>
          <w:color w:val="4C4C4C" w:themeColor="text2"/>
          <w:sz w:val="16"/>
          <w:szCs w:val="16"/>
          <w:u w:val="single"/>
        </w:rPr>
        <w:t xml:space="preserve">.  </w:t>
      </w:r>
    </w:p>
  </w:endnote>
  <w:endnote w:id="70">
    <w:p w14:paraId="60E56DCF"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LHB analysis EIALLNL, https://flowcharts.llnl.gov/content/assets/images/charts/Energy/Energy_2012_United-States_MN.png</w:t>
      </w:r>
    </w:p>
  </w:endnote>
  <w:endnote w:id="71">
    <w:p w14:paraId="5CB28A9E" w14:textId="77777777" w:rsidR="006506BB" w:rsidRPr="00795CAC" w:rsidRDefault="006506BB" w:rsidP="00F655E6">
      <w:pPr>
        <w:rPr>
          <w:color w:val="4C4C4C" w:themeColor="text2"/>
          <w:sz w:val="16"/>
          <w:szCs w:val="16"/>
          <w:lang w:val="it-IT"/>
        </w:rPr>
      </w:pPr>
      <w:r w:rsidRPr="00795CAC">
        <w:rPr>
          <w:color w:val="4C4C4C" w:themeColor="text2"/>
          <w:sz w:val="16"/>
          <w:szCs w:val="16"/>
          <w:vertAlign w:val="superscript"/>
        </w:rPr>
        <w:endnoteRef/>
      </w:r>
      <w:r w:rsidRPr="00795CAC">
        <w:rPr>
          <w:color w:val="4C4C4C" w:themeColor="text2"/>
          <w:sz w:val="16"/>
          <w:szCs w:val="16"/>
          <w:lang w:val="it-IT"/>
        </w:rPr>
        <w:t xml:space="preserve"> </w:t>
      </w:r>
      <w:r w:rsidRPr="00795CAC">
        <w:rPr>
          <w:color w:val="4C4C4C" w:themeColor="text2"/>
          <w:sz w:val="16"/>
          <w:szCs w:val="16"/>
          <w:lang w:val="it-IT"/>
        </w:rPr>
        <w:t>MPCA: https://www.pca.state.mn.us/sites/default/files/lraq-2sy15.pdf</w:t>
      </w:r>
    </w:p>
  </w:endnote>
  <w:endnote w:id="72">
    <w:p w14:paraId="487CC93B"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EIA: http://www.eia.gov/state/seds/data.cfm?incfile=/state/seds/sep_fuel/html/fuel_te.html&amp;sid=US&amp;sid=MN</w:t>
      </w:r>
    </w:p>
  </w:endnote>
  <w:endnote w:id="73">
    <w:p w14:paraId="7640C39B" w14:textId="77777777" w:rsidR="006506BB" w:rsidRPr="00795CAC" w:rsidRDefault="006506BB" w:rsidP="00F655E6">
      <w:pPr>
        <w:rPr>
          <w:color w:val="4C4C4C" w:themeColor="text2"/>
          <w:sz w:val="16"/>
          <w:szCs w:val="16"/>
          <w:lang w:val="it-IT"/>
        </w:rPr>
      </w:pPr>
      <w:r w:rsidRPr="00795CAC">
        <w:rPr>
          <w:color w:val="4C4C4C" w:themeColor="text2"/>
          <w:sz w:val="16"/>
          <w:szCs w:val="16"/>
          <w:vertAlign w:val="superscript"/>
        </w:rPr>
        <w:endnoteRef/>
      </w:r>
      <w:r w:rsidRPr="00795CAC">
        <w:rPr>
          <w:color w:val="4C4C4C" w:themeColor="text2"/>
          <w:sz w:val="16"/>
          <w:szCs w:val="16"/>
          <w:lang w:val="it-IT"/>
        </w:rPr>
        <w:t xml:space="preserve"> </w:t>
      </w:r>
      <w:r w:rsidRPr="00795CAC">
        <w:rPr>
          <w:color w:val="4C4C4C" w:themeColor="text2"/>
          <w:sz w:val="16"/>
          <w:szCs w:val="16"/>
          <w:lang w:val="it-IT"/>
        </w:rPr>
        <w:t>MPCA</w:t>
      </w:r>
    </w:p>
  </w:endnote>
  <w:endnote w:id="74">
    <w:p w14:paraId="2D9D1615" w14:textId="77777777" w:rsidR="006506BB" w:rsidRPr="00795CAC" w:rsidRDefault="006506BB" w:rsidP="00F655E6">
      <w:pPr>
        <w:rPr>
          <w:color w:val="4C4C4C" w:themeColor="text2"/>
          <w:sz w:val="16"/>
          <w:szCs w:val="16"/>
          <w:lang w:val="it-IT"/>
        </w:rPr>
      </w:pPr>
      <w:r w:rsidRPr="00795CAC">
        <w:rPr>
          <w:color w:val="4C4C4C" w:themeColor="text2"/>
          <w:sz w:val="16"/>
          <w:szCs w:val="16"/>
          <w:vertAlign w:val="superscript"/>
        </w:rPr>
        <w:endnoteRef/>
      </w:r>
      <w:r w:rsidRPr="00795CAC">
        <w:rPr>
          <w:color w:val="4C4C4C" w:themeColor="text2"/>
          <w:sz w:val="16"/>
          <w:szCs w:val="16"/>
          <w:lang w:val="it-IT"/>
        </w:rPr>
        <w:t xml:space="preserve"> MPCA</w:t>
      </w:r>
    </w:p>
  </w:endnote>
  <w:endnote w:id="75">
    <w:p w14:paraId="7E64F85F" w14:textId="77777777" w:rsidR="006506BB" w:rsidRPr="00795CAC" w:rsidRDefault="006506BB" w:rsidP="00F655E6">
      <w:pPr>
        <w:rPr>
          <w:color w:val="4C4C4C" w:themeColor="text2"/>
          <w:sz w:val="16"/>
          <w:szCs w:val="16"/>
          <w:lang w:val="it-IT"/>
        </w:rPr>
      </w:pPr>
      <w:r w:rsidRPr="00795CAC">
        <w:rPr>
          <w:color w:val="4C4C4C" w:themeColor="text2"/>
          <w:sz w:val="16"/>
          <w:szCs w:val="16"/>
          <w:vertAlign w:val="superscript"/>
        </w:rPr>
        <w:endnoteRef/>
      </w:r>
      <w:r w:rsidRPr="00795CAC">
        <w:rPr>
          <w:color w:val="4C4C4C" w:themeColor="text2"/>
          <w:sz w:val="16"/>
          <w:szCs w:val="16"/>
          <w:lang w:val="it-IT"/>
        </w:rPr>
        <w:t xml:space="preserve"> </w:t>
      </w:r>
      <w:hyperlink r:id="rId54">
        <w:r w:rsidRPr="00795CAC">
          <w:rPr>
            <w:color w:val="4C4C4C" w:themeColor="text2"/>
            <w:sz w:val="16"/>
            <w:szCs w:val="16"/>
          </w:rPr>
          <w:t xml:space="preserve">“2015 Transportation Profiles,” U.S. Department of Transportation Federal Highway Administration, October 19, 2015, </w:t>
        </w:r>
        <w:r w:rsidRPr="00795CAC">
          <w:rPr>
            <w:color w:val="4C4C4C" w:themeColor="text2"/>
            <w:sz w:val="16"/>
            <w:szCs w:val="16"/>
            <w:u w:val="single"/>
          </w:rPr>
          <w:t>http://www.fhwa.dot.gov/planning/census_issues/american_community_survey/products/2015_transportation_profiles/state/profile_minnesota.cfm</w:t>
        </w:r>
      </w:hyperlink>
      <w:r w:rsidRPr="00795CAC">
        <w:rPr>
          <w:color w:val="4C4C4C" w:themeColor="text2"/>
          <w:sz w:val="16"/>
          <w:szCs w:val="16"/>
          <w:u w:val="single"/>
        </w:rPr>
        <w:t xml:space="preserve">.  </w:t>
      </w:r>
    </w:p>
  </w:endnote>
  <w:endnote w:id="76">
    <w:p w14:paraId="02993F10" w14:textId="77777777" w:rsidR="006506BB" w:rsidRPr="00795CAC" w:rsidRDefault="006506BB" w:rsidP="00F655E6">
      <w:pPr>
        <w:rPr>
          <w:color w:val="4C4C4C" w:themeColor="text2"/>
          <w:sz w:val="16"/>
          <w:szCs w:val="16"/>
          <w:lang w:val="it-IT"/>
        </w:rPr>
      </w:pPr>
      <w:r w:rsidRPr="00795CAC">
        <w:rPr>
          <w:rStyle w:val="EndnoteReference"/>
          <w:color w:val="4C4C4C" w:themeColor="text2"/>
          <w:sz w:val="16"/>
          <w:szCs w:val="16"/>
        </w:rPr>
        <w:endnoteRef/>
      </w:r>
      <w:r w:rsidRPr="00795CAC">
        <w:rPr>
          <w:color w:val="4C4C4C" w:themeColor="text2"/>
          <w:sz w:val="16"/>
          <w:szCs w:val="16"/>
          <w:lang w:val="it-IT"/>
        </w:rPr>
        <w:t xml:space="preserve"> </w:t>
      </w:r>
      <w:r w:rsidRPr="00795CAC">
        <w:rPr>
          <w:color w:val="4C4C4C" w:themeColor="text2"/>
          <w:sz w:val="16"/>
          <w:szCs w:val="16"/>
          <w:lang w:val="it-IT"/>
        </w:rPr>
        <w:t>Ibid</w:t>
      </w:r>
    </w:p>
  </w:endnote>
  <w:endnote w:id="77">
    <w:p w14:paraId="4C1507AD"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“Minnesota State Profile and Energy Estimates,” U.S. Energy Information Administration, March 17, 2016, </w:t>
      </w:r>
      <w:hyperlink r:id="rId55" w:history="1">
        <w:r w:rsidRPr="00795CAC">
          <w:rPr>
            <w:rStyle w:val="Hyperlink"/>
            <w:rFonts w:eastAsia="Arial" w:cs="Arial"/>
            <w:color w:val="4C4C4C" w:themeColor="text2"/>
            <w:sz w:val="16"/>
            <w:szCs w:val="16"/>
          </w:rPr>
          <w:t>http://www.eia.gov/state/?sid=MN</w:t>
        </w:r>
      </w:hyperlink>
      <w:r w:rsidRPr="00795CAC">
        <w:rPr>
          <w:rStyle w:val="Hyperlink"/>
          <w:rFonts w:eastAsia="Arial" w:cs="Arial"/>
          <w:color w:val="4C4C4C" w:themeColor="text2"/>
          <w:sz w:val="16"/>
          <w:szCs w:val="16"/>
        </w:rPr>
        <w:t>.</w:t>
      </w:r>
      <w:r w:rsidRPr="00795CAC">
        <w:rPr>
          <w:rStyle w:val="Hyperlink"/>
          <w:rFonts w:ascii="Arial" w:eastAsia="Arial" w:hAnsi="Arial" w:cs="Arial"/>
          <w:color w:val="4C4C4C" w:themeColor="text2"/>
          <w:sz w:val="16"/>
          <w:szCs w:val="16"/>
        </w:rPr>
        <w:t xml:space="preserve"> </w:t>
      </w:r>
      <w:r w:rsidRPr="00795CAC">
        <w:rPr>
          <w:color w:val="4C4C4C" w:themeColor="text2"/>
          <w:sz w:val="16"/>
          <w:szCs w:val="16"/>
        </w:rPr>
        <w:t xml:space="preserve"> </w:t>
      </w:r>
    </w:p>
  </w:endnote>
  <w:endnote w:id="78">
    <w:p w14:paraId="5DD460E6"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“239.7911 Petroleum Replacement Promotion,” </w:t>
      </w:r>
      <w:proofErr w:type="spellStart"/>
      <w:r w:rsidRPr="00795CAC">
        <w:rPr>
          <w:color w:val="4C4C4C" w:themeColor="text2"/>
          <w:sz w:val="16"/>
          <w:szCs w:val="16"/>
        </w:rPr>
        <w:t>Revisor</w:t>
      </w:r>
      <w:proofErr w:type="spellEnd"/>
      <w:r w:rsidRPr="00795CAC">
        <w:rPr>
          <w:color w:val="4C4C4C" w:themeColor="text2"/>
          <w:sz w:val="16"/>
          <w:szCs w:val="16"/>
        </w:rPr>
        <w:t xml:space="preserve"> of Statutes, State of Minnesota, 2015, </w:t>
      </w:r>
      <w:hyperlink r:id="rId56" w:history="1">
        <w:r w:rsidRPr="00795CAC">
          <w:rPr>
            <w:rStyle w:val="Hyperlink"/>
            <w:color w:val="4C4C4C" w:themeColor="text2"/>
            <w:sz w:val="16"/>
            <w:szCs w:val="16"/>
          </w:rPr>
          <w:t>https://www.revisor.mn.gov/statutes/?id=239.7911&amp;format=pdf</w:t>
        </w:r>
      </w:hyperlink>
      <w:r w:rsidRPr="00795CAC">
        <w:rPr>
          <w:color w:val="4C4C4C" w:themeColor="text2"/>
          <w:sz w:val="16"/>
          <w:szCs w:val="16"/>
        </w:rPr>
        <w:t>.</w:t>
      </w:r>
    </w:p>
  </w:endnote>
  <w:endnote w:id="79">
    <w:p w14:paraId="37963B5C" w14:textId="77777777" w:rsidR="006506BB" w:rsidRPr="00795CAC" w:rsidRDefault="006506BB" w:rsidP="00F655E6">
      <w:pPr>
        <w:rPr>
          <w:color w:val="4C4C4C" w:themeColor="text2"/>
          <w:sz w:val="16"/>
          <w:szCs w:val="16"/>
        </w:rPr>
      </w:pPr>
      <w:bookmarkStart w:id="110" w:name="h.7ju2szvnh8a3" w:colFirst="0" w:colLast="0"/>
      <w:bookmarkEnd w:id="110"/>
      <w:r w:rsidRPr="00795CAC">
        <w:rPr>
          <w:color w:val="4C4C4C" w:themeColor="text2"/>
          <w:sz w:val="16"/>
          <w:szCs w:val="16"/>
          <w:vertAlign w:val="superscript"/>
        </w:rPr>
        <w:endnoteRef/>
      </w:r>
      <w:r w:rsidRPr="00795CAC">
        <w:rPr>
          <w:color w:val="4C4C4C" w:themeColor="text2"/>
          <w:sz w:val="16"/>
          <w:szCs w:val="16"/>
        </w:rPr>
        <w:t xml:space="preserve"> Su Ye, </w:t>
      </w:r>
      <w:r w:rsidRPr="00795CAC">
        <w:rPr>
          <w:i/>
          <w:color w:val="4C4C4C" w:themeColor="text2"/>
          <w:sz w:val="16"/>
          <w:szCs w:val="16"/>
        </w:rPr>
        <w:t xml:space="preserve">Minnesota Ethanol Industry, </w:t>
      </w:r>
      <w:r w:rsidRPr="00795CAC">
        <w:rPr>
          <w:color w:val="4C4C4C" w:themeColor="text2"/>
          <w:sz w:val="16"/>
          <w:szCs w:val="16"/>
        </w:rPr>
        <w:t xml:space="preserve">Minnesota Department of Agriculture, 2012, </w:t>
      </w:r>
      <w:hyperlink r:id="rId57" w:history="1">
        <w:r w:rsidRPr="00795CAC">
          <w:rPr>
            <w:rStyle w:val="Hyperlink"/>
            <w:color w:val="4C4C4C" w:themeColor="text2"/>
            <w:sz w:val="16"/>
            <w:szCs w:val="16"/>
          </w:rPr>
          <w:t>http://www.mda.state.mn.us/~/media/Files/food/business/economics/plantsreport.ashx</w:t>
        </w:r>
      </w:hyperlink>
      <w:r w:rsidRPr="00795CAC">
        <w:rPr>
          <w:color w:val="4C4C4C" w:themeColor="text2"/>
          <w:sz w:val="16"/>
          <w:szCs w:val="16"/>
        </w:rPr>
        <w:t xml:space="preserve">. </w:t>
      </w:r>
      <w:r w:rsidRPr="00795CAC" w:rsidDel="00BC18E2">
        <w:rPr>
          <w:color w:val="4C4C4C" w:themeColor="text2"/>
          <w:sz w:val="16"/>
          <w:szCs w:val="16"/>
        </w:rPr>
        <w:t xml:space="preserve"> </w:t>
      </w:r>
    </w:p>
  </w:endnote>
  <w:endnote w:id="80">
    <w:p w14:paraId="1970102A"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w:t>
      </w:r>
      <w:r w:rsidRPr="00795CAC">
        <w:rPr>
          <w:i/>
          <w:color w:val="4C4C4C" w:themeColor="text2"/>
          <w:sz w:val="16"/>
          <w:szCs w:val="16"/>
        </w:rPr>
        <w:t xml:space="preserve">Transportation Electrification: Utility Fleets Leading the Charge, </w:t>
      </w:r>
      <w:r w:rsidRPr="00795CAC">
        <w:rPr>
          <w:color w:val="4C4C4C" w:themeColor="text2"/>
          <w:sz w:val="16"/>
          <w:szCs w:val="16"/>
        </w:rPr>
        <w:t xml:space="preserve">June 2014, Edison Electric Institute, </w:t>
      </w:r>
      <w:hyperlink r:id="rId58" w:history="1">
        <w:r w:rsidRPr="00795CAC">
          <w:rPr>
            <w:rStyle w:val="Hyperlink"/>
            <w:color w:val="4C4C4C" w:themeColor="text2"/>
            <w:sz w:val="16"/>
            <w:szCs w:val="16"/>
          </w:rPr>
          <w:t>http://www.eei.org/issuesandpolicy/electrictransportation/FleetVehicles/Documents/EEI_UtilityFleetsLeadingTheCharge.pdf</w:t>
        </w:r>
      </w:hyperlink>
      <w:r w:rsidRPr="00795CAC">
        <w:rPr>
          <w:color w:val="4C4C4C" w:themeColor="text2"/>
          <w:sz w:val="16"/>
          <w:szCs w:val="16"/>
        </w:rPr>
        <w:t xml:space="preserve">. </w:t>
      </w:r>
    </w:p>
  </w:endnote>
  <w:endnote w:id="81">
    <w:p w14:paraId="7B28E9A1" w14:textId="77777777" w:rsidR="006506BB" w:rsidRPr="00795CAC" w:rsidRDefault="006506BB" w:rsidP="00F655E6">
      <w:pPr>
        <w:rPr>
          <w:color w:val="4C4C4C" w:themeColor="text2"/>
          <w:sz w:val="16"/>
          <w:szCs w:val="16"/>
          <w:highlight w:val="yellow"/>
        </w:rPr>
      </w:pPr>
      <w:r w:rsidRPr="00795CAC">
        <w:rPr>
          <w:rStyle w:val="EndnoteReference"/>
          <w:color w:val="4C4C4C" w:themeColor="text2"/>
          <w:sz w:val="16"/>
          <w:szCs w:val="16"/>
        </w:rPr>
        <w:endnoteRef/>
      </w:r>
      <w:r w:rsidRPr="00795CAC">
        <w:rPr>
          <w:color w:val="4C4C4C" w:themeColor="text2"/>
          <w:sz w:val="16"/>
          <w:szCs w:val="16"/>
        </w:rPr>
        <w:t xml:space="preserve"> Great Plains Institute Survey of EV Owners, 2015. Cited in Dane McFarlane, “Electric Vehicles Provide Large GHG Reductions in Minnesota,” Great Plains Institute, April 12, 2016, http://www.betterenergy.org/blog/electric-vehicles-provide-large-ghg-reduction-minnesota.</w:t>
      </w:r>
    </w:p>
  </w:endnote>
  <w:endnote w:id="82">
    <w:p w14:paraId="6B97C58A"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Elizabeth Dunbar, “Xcel plan would retire part of coal power plant by 2026,” MPR News, October 2, 2015, </w:t>
      </w:r>
      <w:hyperlink r:id="rId59" w:history="1">
        <w:r w:rsidRPr="00795CAC">
          <w:rPr>
            <w:rStyle w:val="Hyperlink"/>
            <w:color w:val="4C4C4C" w:themeColor="text2"/>
            <w:sz w:val="16"/>
            <w:szCs w:val="16"/>
          </w:rPr>
          <w:t>http://www.mprnews.org/story/2015/10/02/xcel-sherco-shutdown-plans</w:t>
        </w:r>
      </w:hyperlink>
      <w:r w:rsidRPr="00795CAC">
        <w:rPr>
          <w:color w:val="4C4C4C" w:themeColor="text2"/>
          <w:sz w:val="16"/>
          <w:szCs w:val="16"/>
        </w:rPr>
        <w:t>.</w:t>
      </w:r>
    </w:p>
  </w:endnote>
  <w:endnote w:id="83">
    <w:p w14:paraId="3882294F"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J.L. Sullivan, A. Burnham, and M. Wang, “Energy-Consumption and Carbon-Emission Analysis of Vehicle and Component Manufacturing,” Argonne National Laboratory, September 2010, </w:t>
      </w:r>
      <w:hyperlink r:id="rId60" w:history="1">
        <w:r w:rsidRPr="00795CAC">
          <w:rPr>
            <w:rStyle w:val="Hyperlink"/>
            <w:color w:val="4C4C4C" w:themeColor="text2"/>
            <w:sz w:val="16"/>
            <w:szCs w:val="16"/>
          </w:rPr>
          <w:t>https://greet.es.anl.gov/publication-vehicle_and_components_manufacturing</w:t>
        </w:r>
      </w:hyperlink>
      <w:r w:rsidRPr="00795CAC">
        <w:rPr>
          <w:color w:val="4C4C4C" w:themeColor="text2"/>
          <w:sz w:val="16"/>
          <w:szCs w:val="16"/>
        </w:rPr>
        <w:t>.</w:t>
      </w:r>
    </w:p>
  </w:endnote>
  <w:endnote w:id="84">
    <w:p w14:paraId="74777E02"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w:t>
      </w:r>
      <w:proofErr w:type="spellStart"/>
      <w:r w:rsidRPr="00795CAC">
        <w:rPr>
          <w:color w:val="4C4C4C" w:themeColor="text2"/>
          <w:sz w:val="16"/>
          <w:szCs w:val="16"/>
        </w:rPr>
        <w:t>Björn</w:t>
      </w:r>
      <w:proofErr w:type="spellEnd"/>
      <w:r w:rsidRPr="00795CAC">
        <w:rPr>
          <w:color w:val="4C4C4C" w:themeColor="text2"/>
          <w:sz w:val="16"/>
          <w:szCs w:val="16"/>
        </w:rPr>
        <w:t xml:space="preserve"> </w:t>
      </w:r>
      <w:proofErr w:type="spellStart"/>
      <w:r w:rsidRPr="00795CAC">
        <w:rPr>
          <w:color w:val="4C4C4C" w:themeColor="text2"/>
          <w:sz w:val="16"/>
          <w:szCs w:val="16"/>
        </w:rPr>
        <w:t>Nykvist</w:t>
      </w:r>
      <w:proofErr w:type="spellEnd"/>
      <w:r w:rsidRPr="00795CAC">
        <w:rPr>
          <w:color w:val="4C4C4C" w:themeColor="text2"/>
          <w:sz w:val="16"/>
          <w:szCs w:val="16"/>
        </w:rPr>
        <w:t xml:space="preserve"> and </w:t>
      </w:r>
      <w:proofErr w:type="spellStart"/>
      <w:r w:rsidRPr="00795CAC">
        <w:rPr>
          <w:color w:val="4C4C4C" w:themeColor="text2"/>
          <w:sz w:val="16"/>
          <w:szCs w:val="16"/>
        </w:rPr>
        <w:t>Måns</w:t>
      </w:r>
      <w:proofErr w:type="spellEnd"/>
      <w:r w:rsidRPr="00795CAC">
        <w:rPr>
          <w:color w:val="4C4C4C" w:themeColor="text2"/>
          <w:sz w:val="16"/>
          <w:szCs w:val="16"/>
        </w:rPr>
        <w:t xml:space="preserve"> Nilsson, “Rapidly falling costs of battery packs for electric vehicles,” </w:t>
      </w:r>
      <w:r w:rsidRPr="00795CAC">
        <w:rPr>
          <w:i/>
          <w:color w:val="4C4C4C" w:themeColor="text2"/>
          <w:sz w:val="16"/>
          <w:szCs w:val="16"/>
        </w:rPr>
        <w:t>Nature Climate Change,</w:t>
      </w:r>
      <w:r w:rsidRPr="00795CAC">
        <w:rPr>
          <w:color w:val="4C4C4C" w:themeColor="text2"/>
          <w:sz w:val="16"/>
          <w:szCs w:val="16"/>
        </w:rPr>
        <w:t xml:space="preserve"> 5, 329-332 (2015), </w:t>
      </w:r>
      <w:hyperlink r:id="rId61" w:history="1">
        <w:r w:rsidRPr="00795CAC">
          <w:rPr>
            <w:rStyle w:val="Hyperlink"/>
            <w:color w:val="4C4C4C" w:themeColor="text2"/>
            <w:sz w:val="16"/>
            <w:szCs w:val="16"/>
          </w:rPr>
          <w:t>http://www.nature.com/nclimate/journal/v5/n4/full/nclimate2564.html</w:t>
        </w:r>
      </w:hyperlink>
      <w:r w:rsidRPr="00795CAC">
        <w:rPr>
          <w:color w:val="4C4C4C" w:themeColor="text2"/>
          <w:sz w:val="16"/>
          <w:szCs w:val="16"/>
        </w:rPr>
        <w:t>.</w:t>
      </w:r>
    </w:p>
  </w:endnote>
  <w:endnote w:id="85">
    <w:p w14:paraId="272A096A"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“Qualified Plug-In Electric Drive Motor Vehicle Tax Credit,” Alternative Fuels Data Center, U.S. Department of Energy, June 4, 2014, </w:t>
      </w:r>
      <w:hyperlink r:id="rId62">
        <w:r w:rsidRPr="00795CAC">
          <w:rPr>
            <w:color w:val="4C4C4C" w:themeColor="text2"/>
            <w:sz w:val="16"/>
            <w:szCs w:val="16"/>
            <w:u w:val="single"/>
          </w:rPr>
          <w:t>http://www.afdc.energy.gov/laws/law/US/409</w:t>
        </w:r>
      </w:hyperlink>
      <w:r w:rsidRPr="00795CAC">
        <w:rPr>
          <w:color w:val="4C4C4C" w:themeColor="text2"/>
          <w:sz w:val="16"/>
          <w:szCs w:val="16"/>
          <w:u w:val="single"/>
        </w:rPr>
        <w:t xml:space="preserve">. </w:t>
      </w:r>
      <w:r w:rsidRPr="00795CAC">
        <w:rPr>
          <w:color w:val="4C4C4C" w:themeColor="text2"/>
          <w:sz w:val="16"/>
          <w:szCs w:val="16"/>
        </w:rPr>
        <w:t xml:space="preserve"> </w:t>
      </w:r>
    </w:p>
  </w:endnote>
  <w:endnote w:id="86">
    <w:p w14:paraId="12B7F68F"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w:t>
      </w:r>
      <w:proofErr w:type="spellStart"/>
      <w:r w:rsidRPr="00795CAC">
        <w:rPr>
          <w:color w:val="4C4C4C" w:themeColor="text2"/>
          <w:sz w:val="16"/>
          <w:szCs w:val="16"/>
        </w:rPr>
        <w:t>Lingzhi</w:t>
      </w:r>
      <w:proofErr w:type="spellEnd"/>
      <w:r w:rsidRPr="00795CAC">
        <w:rPr>
          <w:color w:val="4C4C4C" w:themeColor="text2"/>
          <w:sz w:val="16"/>
          <w:szCs w:val="16"/>
        </w:rPr>
        <w:t xml:space="preserve"> </w:t>
      </w:r>
      <w:proofErr w:type="spellStart"/>
      <w:r w:rsidRPr="00795CAC">
        <w:rPr>
          <w:color w:val="4C4C4C" w:themeColor="text2"/>
          <w:sz w:val="16"/>
          <w:szCs w:val="16"/>
        </w:rPr>
        <w:t>Jin</w:t>
      </w:r>
      <w:proofErr w:type="spellEnd"/>
      <w:r w:rsidRPr="00795CAC">
        <w:rPr>
          <w:color w:val="4C4C4C" w:themeColor="text2"/>
          <w:sz w:val="16"/>
          <w:szCs w:val="16"/>
        </w:rPr>
        <w:t xml:space="preserve">, Stephanie Searle, and </w:t>
      </w:r>
      <w:proofErr w:type="spellStart"/>
      <w:r w:rsidRPr="00795CAC">
        <w:rPr>
          <w:color w:val="4C4C4C" w:themeColor="text2"/>
          <w:sz w:val="16"/>
          <w:szCs w:val="16"/>
        </w:rPr>
        <w:t>Nic</w:t>
      </w:r>
      <w:proofErr w:type="spellEnd"/>
      <w:r w:rsidRPr="00795CAC">
        <w:rPr>
          <w:color w:val="4C4C4C" w:themeColor="text2"/>
          <w:sz w:val="16"/>
          <w:szCs w:val="16"/>
        </w:rPr>
        <w:t xml:space="preserve"> </w:t>
      </w:r>
      <w:proofErr w:type="spellStart"/>
      <w:r w:rsidRPr="00795CAC">
        <w:rPr>
          <w:color w:val="4C4C4C" w:themeColor="text2"/>
          <w:sz w:val="16"/>
          <w:szCs w:val="16"/>
        </w:rPr>
        <w:t>Lutsey</w:t>
      </w:r>
      <w:proofErr w:type="spellEnd"/>
      <w:r w:rsidRPr="00795CAC">
        <w:rPr>
          <w:color w:val="4C4C4C" w:themeColor="text2"/>
          <w:sz w:val="16"/>
          <w:szCs w:val="16"/>
        </w:rPr>
        <w:t xml:space="preserve">, “Evaluation of State-level U.S. Electric Vehicle Incentives,” The International Council on Clean Transportation, October 2014, </w:t>
      </w:r>
      <w:hyperlink r:id="rId63" w:history="1">
        <w:r w:rsidRPr="00795CAC">
          <w:rPr>
            <w:rStyle w:val="Hyperlink"/>
            <w:color w:val="4C4C4C" w:themeColor="text2"/>
            <w:sz w:val="16"/>
            <w:szCs w:val="16"/>
          </w:rPr>
          <w:t>http://www.theicct.org/sites/default/files/publications/ICCT_state-EV-incentives_20141030.pdf</w:t>
        </w:r>
      </w:hyperlink>
      <w:r w:rsidRPr="00795CAC">
        <w:rPr>
          <w:color w:val="4C4C4C" w:themeColor="text2"/>
          <w:sz w:val="16"/>
          <w:szCs w:val="16"/>
        </w:rPr>
        <w:t>.</w:t>
      </w:r>
    </w:p>
  </w:endnote>
  <w:endnote w:id="87">
    <w:p w14:paraId="367A97A1"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“Drive Electric Minnesota”, Drive Electric Minnesota, accessed March 17, 2016, </w:t>
      </w:r>
      <w:hyperlink r:id="rId64" w:history="1">
        <w:r w:rsidRPr="00795CAC">
          <w:rPr>
            <w:rStyle w:val="Hyperlink"/>
            <w:color w:val="4C4C4C" w:themeColor="text2"/>
            <w:sz w:val="16"/>
            <w:szCs w:val="16"/>
          </w:rPr>
          <w:t>http://www.driveelectricmn.org/</w:t>
        </w:r>
      </w:hyperlink>
      <w:r w:rsidRPr="00795CAC">
        <w:rPr>
          <w:color w:val="4C4C4C" w:themeColor="text2"/>
          <w:sz w:val="16"/>
          <w:szCs w:val="16"/>
        </w:rPr>
        <w:t>.</w:t>
      </w:r>
    </w:p>
  </w:endnote>
  <w:endnote w:id="88">
    <w:p w14:paraId="1817C080" w14:textId="77777777" w:rsidR="006506BB" w:rsidRPr="00795CAC" w:rsidRDefault="006506BB" w:rsidP="00F655E6">
      <w:pPr>
        <w:rPr>
          <w:color w:val="4C4C4C" w:themeColor="text2"/>
          <w:sz w:val="16"/>
          <w:szCs w:val="16"/>
          <w:highlight w:val="yellow"/>
        </w:rPr>
      </w:pPr>
      <w:r w:rsidRPr="00795CAC">
        <w:rPr>
          <w:color w:val="4C4C4C" w:themeColor="text2"/>
          <w:sz w:val="16"/>
          <w:szCs w:val="16"/>
          <w:vertAlign w:val="superscript"/>
        </w:rPr>
        <w:endnoteRef/>
      </w:r>
      <w:r w:rsidRPr="00795CAC">
        <w:rPr>
          <w:color w:val="4C4C4C" w:themeColor="text2"/>
          <w:sz w:val="16"/>
          <w:szCs w:val="16"/>
        </w:rPr>
        <w:t xml:space="preserve"> “151.1 Article 11, 151.2 Miscellaneous Energy Policy,” the </w:t>
      </w:r>
      <w:proofErr w:type="spellStart"/>
      <w:r w:rsidRPr="00795CAC">
        <w:rPr>
          <w:color w:val="4C4C4C" w:themeColor="text2"/>
          <w:sz w:val="16"/>
          <w:szCs w:val="16"/>
        </w:rPr>
        <w:t>Revisor</w:t>
      </w:r>
      <w:proofErr w:type="spellEnd"/>
      <w:r w:rsidRPr="00795CAC">
        <w:rPr>
          <w:color w:val="4C4C4C" w:themeColor="text2"/>
          <w:sz w:val="16"/>
          <w:szCs w:val="16"/>
        </w:rPr>
        <w:t xml:space="preserve"> of Statutes, State of Minnesota, May 5, 2015, </w:t>
      </w:r>
      <w:hyperlink r:id="rId65">
        <w:r w:rsidRPr="00795CAC">
          <w:rPr>
            <w:color w:val="4C4C4C" w:themeColor="text2"/>
            <w:sz w:val="16"/>
            <w:szCs w:val="16"/>
            <w:u w:val="single"/>
          </w:rPr>
          <w:t>https://www.revisor.mn.gov/data/revisor/sbs/ls89/miscenergy.pdf</w:t>
        </w:r>
      </w:hyperlink>
      <w:r w:rsidRPr="00795CAC">
        <w:rPr>
          <w:color w:val="4C4C4C" w:themeColor="text2"/>
          <w:sz w:val="16"/>
          <w:szCs w:val="16"/>
          <w:u w:val="single"/>
        </w:rPr>
        <w:t xml:space="preserve">. </w:t>
      </w:r>
      <w:r w:rsidRPr="00795CAC">
        <w:rPr>
          <w:color w:val="4C4C4C" w:themeColor="text2"/>
          <w:sz w:val="16"/>
          <w:szCs w:val="16"/>
        </w:rPr>
        <w:t xml:space="preserve"> </w:t>
      </w:r>
    </w:p>
  </w:endnote>
  <w:endnote w:id="89">
    <w:p w14:paraId="6240AD23"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“216B.169 Renewable and High-efficiency Energy Rate Options,” the </w:t>
      </w:r>
      <w:proofErr w:type="spellStart"/>
      <w:r w:rsidRPr="00795CAC">
        <w:rPr>
          <w:color w:val="4C4C4C" w:themeColor="text2"/>
          <w:sz w:val="16"/>
          <w:szCs w:val="16"/>
        </w:rPr>
        <w:t>Revisor</w:t>
      </w:r>
      <w:proofErr w:type="spellEnd"/>
      <w:r w:rsidRPr="00795CAC">
        <w:rPr>
          <w:color w:val="4C4C4C" w:themeColor="text2"/>
          <w:sz w:val="16"/>
          <w:szCs w:val="16"/>
        </w:rPr>
        <w:t xml:space="preserve"> of Statutes, State of Minnesota, 2015, </w:t>
      </w:r>
      <w:hyperlink r:id="rId66" w:anchor="stat.216B.169.2">
        <w:r w:rsidRPr="00795CAC">
          <w:rPr>
            <w:color w:val="4C4C4C" w:themeColor="text2"/>
            <w:sz w:val="16"/>
            <w:szCs w:val="16"/>
            <w:u w:val="single"/>
          </w:rPr>
          <w:t>https://www.revisor.mn.gov/statutes/?id=216B.169#stat.216B.169.2</w:t>
        </w:r>
      </w:hyperlink>
      <w:r w:rsidRPr="00795CAC">
        <w:rPr>
          <w:color w:val="4C4C4C" w:themeColor="text2"/>
          <w:sz w:val="16"/>
          <w:szCs w:val="16"/>
          <w:u w:val="single"/>
        </w:rPr>
        <w:t>.</w:t>
      </w:r>
      <w:r w:rsidRPr="00795CAC">
        <w:rPr>
          <w:color w:val="4C4C4C" w:themeColor="text2"/>
          <w:sz w:val="16"/>
          <w:szCs w:val="16"/>
        </w:rPr>
        <w:t xml:space="preserve"> </w:t>
      </w:r>
    </w:p>
  </w:endnote>
  <w:endnote w:id="90">
    <w:p w14:paraId="663F1238" w14:textId="77777777" w:rsidR="006506BB" w:rsidRPr="00795CAC" w:rsidRDefault="006506BB" w:rsidP="00F655E6">
      <w:pPr>
        <w:rPr>
          <w:color w:val="4C4C4C" w:themeColor="text2"/>
          <w:sz w:val="16"/>
          <w:szCs w:val="16"/>
          <w:highlight w:val="yellow"/>
        </w:rPr>
      </w:pPr>
      <w:r w:rsidRPr="00795CAC">
        <w:rPr>
          <w:color w:val="4C4C4C" w:themeColor="text2"/>
          <w:sz w:val="16"/>
          <w:szCs w:val="16"/>
          <w:vertAlign w:val="superscript"/>
        </w:rPr>
        <w:endnoteRef/>
      </w:r>
      <w:r w:rsidRPr="00795CAC">
        <w:rPr>
          <w:color w:val="4C4C4C" w:themeColor="text2"/>
          <w:sz w:val="16"/>
          <w:szCs w:val="16"/>
        </w:rPr>
        <w:t xml:space="preserve"> “Electric Vehicles,” Dakota Electric Association, 2008, </w:t>
      </w:r>
      <w:hyperlink r:id="rId67">
        <w:r w:rsidRPr="00795CAC">
          <w:rPr>
            <w:color w:val="4C4C4C" w:themeColor="text2"/>
            <w:sz w:val="16"/>
            <w:szCs w:val="16"/>
            <w:u w:val="single"/>
          </w:rPr>
          <w:t>http://www.dakotaelectric.com/residential/programs/electric-vehicles</w:t>
        </w:r>
      </w:hyperlink>
      <w:r w:rsidRPr="00795CAC">
        <w:rPr>
          <w:color w:val="4C4C4C" w:themeColor="text2"/>
          <w:sz w:val="16"/>
          <w:szCs w:val="16"/>
          <w:u w:val="single"/>
        </w:rPr>
        <w:t xml:space="preserve">. </w:t>
      </w:r>
      <w:r w:rsidRPr="00795CAC">
        <w:rPr>
          <w:color w:val="4C4C4C" w:themeColor="text2"/>
          <w:sz w:val="16"/>
          <w:szCs w:val="16"/>
        </w:rPr>
        <w:t xml:space="preserve">  </w:t>
      </w:r>
    </w:p>
  </w:endnote>
  <w:endnote w:id="91">
    <w:p w14:paraId="1CAAEDE0"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“Electric Vehicle Charging,” </w:t>
      </w:r>
      <w:proofErr w:type="spellStart"/>
      <w:r w:rsidRPr="00795CAC">
        <w:rPr>
          <w:color w:val="4C4C4C" w:themeColor="text2"/>
          <w:sz w:val="16"/>
          <w:szCs w:val="16"/>
        </w:rPr>
        <w:t>Connexus</w:t>
      </w:r>
      <w:proofErr w:type="spellEnd"/>
      <w:r w:rsidRPr="00795CAC">
        <w:rPr>
          <w:color w:val="4C4C4C" w:themeColor="text2"/>
          <w:sz w:val="16"/>
          <w:szCs w:val="16"/>
        </w:rPr>
        <w:t xml:space="preserve"> Energy, accessed March 21, 2016, </w:t>
      </w:r>
      <w:hyperlink r:id="rId68">
        <w:r w:rsidRPr="00795CAC">
          <w:rPr>
            <w:color w:val="4C4C4C" w:themeColor="text2"/>
            <w:sz w:val="16"/>
            <w:szCs w:val="16"/>
            <w:u w:val="single"/>
          </w:rPr>
          <w:t>https://www.connexusenergy.com/residential/programs-rates/electric-vehicle/</w:t>
        </w:r>
      </w:hyperlink>
      <w:r w:rsidRPr="00795CAC">
        <w:rPr>
          <w:color w:val="4C4C4C" w:themeColor="text2"/>
          <w:sz w:val="16"/>
          <w:szCs w:val="16"/>
          <w:u w:val="single"/>
        </w:rPr>
        <w:t xml:space="preserve">. </w:t>
      </w:r>
      <w:r w:rsidRPr="00795CAC">
        <w:rPr>
          <w:color w:val="4C4C4C" w:themeColor="text2"/>
          <w:sz w:val="16"/>
          <w:szCs w:val="16"/>
        </w:rPr>
        <w:t xml:space="preserve"> </w:t>
      </w:r>
    </w:p>
  </w:endnote>
  <w:endnote w:id="92">
    <w:p w14:paraId="647463B1"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“Wind Energy Promotion,” Revolt, 2015, </w:t>
      </w:r>
      <w:hyperlink r:id="rId69" w:history="1">
        <w:r w:rsidRPr="00795CAC">
          <w:rPr>
            <w:rStyle w:val="Hyperlink"/>
            <w:color w:val="4C4C4C" w:themeColor="text2"/>
            <w:sz w:val="16"/>
            <w:szCs w:val="16"/>
          </w:rPr>
          <w:t>http://www.energywisemn.com/revolt/</w:t>
        </w:r>
      </w:hyperlink>
      <w:r w:rsidRPr="00795CAC">
        <w:rPr>
          <w:rStyle w:val="Hyperlink"/>
          <w:color w:val="4C4C4C" w:themeColor="text2"/>
          <w:sz w:val="16"/>
          <w:szCs w:val="16"/>
        </w:rPr>
        <w:t xml:space="preserve">. </w:t>
      </w:r>
      <w:r w:rsidRPr="00795CAC">
        <w:rPr>
          <w:color w:val="4C4C4C" w:themeColor="text2"/>
          <w:sz w:val="16"/>
          <w:szCs w:val="16"/>
        </w:rPr>
        <w:t xml:space="preserve"> </w:t>
      </w:r>
    </w:p>
  </w:endnote>
  <w:endnote w:id="93">
    <w:p w14:paraId="60217BC7" w14:textId="77777777" w:rsidR="006506BB" w:rsidRPr="00795CAC" w:rsidRDefault="006506BB" w:rsidP="00F655E6">
      <w:pPr>
        <w:rPr>
          <w:color w:val="4C4C4C" w:themeColor="text2"/>
          <w:sz w:val="16"/>
          <w:szCs w:val="16"/>
          <w:highlight w:val="yellow"/>
        </w:rPr>
      </w:pPr>
      <w:r w:rsidRPr="00795CAC">
        <w:rPr>
          <w:color w:val="4C4C4C" w:themeColor="text2"/>
          <w:sz w:val="16"/>
          <w:szCs w:val="16"/>
          <w:vertAlign w:val="superscript"/>
        </w:rPr>
        <w:endnoteRef/>
      </w:r>
      <w:r w:rsidRPr="00795CAC">
        <w:rPr>
          <w:color w:val="4C4C4C" w:themeColor="text2"/>
          <w:sz w:val="16"/>
          <w:szCs w:val="16"/>
        </w:rPr>
        <w:t xml:space="preserve"> “The Details Behind the Deal,” Drive Electric Minnesota, accessed March 21, 2016, </w:t>
      </w:r>
      <w:hyperlink r:id="rId70">
        <w:r w:rsidRPr="00795CAC">
          <w:rPr>
            <w:color w:val="4C4C4C" w:themeColor="text2"/>
            <w:sz w:val="16"/>
            <w:szCs w:val="16"/>
            <w:u w:val="single"/>
          </w:rPr>
          <w:t>http://www.driveelectricmn.org/zecc/</w:t>
        </w:r>
      </w:hyperlink>
      <w:r w:rsidRPr="00795CAC">
        <w:rPr>
          <w:color w:val="4C4C4C" w:themeColor="text2"/>
          <w:sz w:val="16"/>
          <w:szCs w:val="16"/>
          <w:u w:val="single"/>
        </w:rPr>
        <w:t xml:space="preserve">. </w:t>
      </w:r>
      <w:r w:rsidRPr="00795CAC">
        <w:rPr>
          <w:color w:val="4C4C4C" w:themeColor="text2"/>
          <w:sz w:val="16"/>
          <w:szCs w:val="16"/>
        </w:rPr>
        <w:t xml:space="preserve">  </w:t>
      </w:r>
    </w:p>
  </w:endnote>
  <w:endnote w:id="94">
    <w:p w14:paraId="7F967282"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“Electric Vehicle Charging Station Locations,” Alternative Fuels Data Center, U.S. Department of Energy, March 21, 2016, </w:t>
      </w:r>
      <w:hyperlink r:id="rId71">
        <w:r w:rsidRPr="00795CAC">
          <w:rPr>
            <w:color w:val="4C4C4C" w:themeColor="text2"/>
            <w:sz w:val="16"/>
            <w:szCs w:val="16"/>
            <w:u w:val="single"/>
          </w:rPr>
          <w:t>http://www.afdc.energy.gov/fuels/electricity_locations.html</w:t>
        </w:r>
      </w:hyperlink>
      <w:r w:rsidRPr="00795CAC">
        <w:rPr>
          <w:color w:val="4C4C4C" w:themeColor="text2"/>
          <w:sz w:val="16"/>
          <w:szCs w:val="16"/>
          <w:u w:val="single"/>
        </w:rPr>
        <w:t xml:space="preserve">. </w:t>
      </w:r>
      <w:r w:rsidRPr="00795CAC">
        <w:rPr>
          <w:color w:val="4C4C4C" w:themeColor="text2"/>
          <w:sz w:val="16"/>
          <w:szCs w:val="16"/>
        </w:rPr>
        <w:t xml:space="preserve"> </w:t>
      </w:r>
    </w:p>
  </w:endnote>
  <w:endnote w:id="95">
    <w:p w14:paraId="49B3D0AC"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Edward J. </w:t>
      </w:r>
      <w:proofErr w:type="spellStart"/>
      <w:r w:rsidRPr="00795CAC">
        <w:rPr>
          <w:color w:val="4C4C4C" w:themeColor="text2"/>
          <w:sz w:val="16"/>
          <w:szCs w:val="16"/>
        </w:rPr>
        <w:t>Klock</w:t>
      </w:r>
      <w:proofErr w:type="spellEnd"/>
      <w:r w:rsidRPr="00795CAC">
        <w:rPr>
          <w:color w:val="4C4C4C" w:themeColor="text2"/>
          <w:sz w:val="16"/>
          <w:szCs w:val="16"/>
        </w:rPr>
        <w:t xml:space="preserve">-McCook and </w:t>
      </w:r>
      <w:proofErr w:type="spellStart"/>
      <w:r w:rsidRPr="00795CAC">
        <w:rPr>
          <w:color w:val="4C4C4C" w:themeColor="text2"/>
          <w:sz w:val="16"/>
          <w:szCs w:val="16"/>
        </w:rPr>
        <w:t>Tyeler</w:t>
      </w:r>
      <w:proofErr w:type="spellEnd"/>
      <w:r w:rsidRPr="00795CAC">
        <w:rPr>
          <w:color w:val="4C4C4C" w:themeColor="text2"/>
          <w:sz w:val="16"/>
          <w:szCs w:val="16"/>
        </w:rPr>
        <w:t xml:space="preserve"> Matsuo, “What Electric Vehicles Can Learn From the Solar Market,” Rocky Mountain Institute, October 29, 2015, </w:t>
      </w:r>
      <w:hyperlink r:id="rId72">
        <w:r w:rsidRPr="00795CAC">
          <w:rPr>
            <w:color w:val="4C4C4C" w:themeColor="text2"/>
            <w:sz w:val="16"/>
            <w:szCs w:val="16"/>
            <w:u w:val="single"/>
          </w:rPr>
          <w:t>http://blog.rmi.org/blog_2015_10_29_what_electric_vehicles_can_learn_from_the_solar_market</w:t>
        </w:r>
      </w:hyperlink>
      <w:r w:rsidRPr="00795CAC">
        <w:rPr>
          <w:color w:val="4C4C4C" w:themeColor="text2"/>
          <w:sz w:val="16"/>
          <w:szCs w:val="16"/>
          <w:u w:val="single"/>
        </w:rPr>
        <w:t xml:space="preserve">. </w:t>
      </w:r>
      <w:r w:rsidRPr="00795CAC">
        <w:rPr>
          <w:color w:val="4C4C4C" w:themeColor="text2"/>
          <w:sz w:val="16"/>
          <w:szCs w:val="16"/>
        </w:rPr>
        <w:t xml:space="preserve"> </w:t>
      </w:r>
    </w:p>
  </w:endnote>
  <w:endnote w:id="96">
    <w:p w14:paraId="1259429C"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Nikki Gordon-Bloomfield, “Following Success with Nissan Leaf Deal Drive Electric Northern Colorado Announces BMW i3 for $29,994 After Incentives,” Transport Evolved, December 23, 2015, </w:t>
      </w:r>
      <w:hyperlink r:id="rId73">
        <w:r w:rsidRPr="00795CAC">
          <w:rPr>
            <w:color w:val="4C4C4C" w:themeColor="text2"/>
            <w:sz w:val="16"/>
            <w:szCs w:val="16"/>
            <w:u w:val="single"/>
          </w:rPr>
          <w:t>https://transportevolved.com/2015/12/23/following-success-with-nissan-leaf-deal-drive-electric-northern-colorado-announces-bmw-i3-for-29994-after-incentives/</w:t>
        </w:r>
      </w:hyperlink>
      <w:r w:rsidRPr="00795CAC">
        <w:rPr>
          <w:color w:val="4C4C4C" w:themeColor="text2"/>
          <w:sz w:val="16"/>
          <w:szCs w:val="16"/>
          <w:u w:val="single"/>
        </w:rPr>
        <w:t xml:space="preserve">. </w:t>
      </w:r>
      <w:r w:rsidRPr="00795CAC">
        <w:rPr>
          <w:color w:val="4C4C4C" w:themeColor="text2"/>
          <w:sz w:val="16"/>
          <w:szCs w:val="16"/>
        </w:rPr>
        <w:t xml:space="preserve"> </w:t>
      </w:r>
    </w:p>
  </w:endnote>
  <w:endnote w:id="97">
    <w:p w14:paraId="055D1246"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RMI analysis</w:t>
      </w:r>
    </w:p>
  </w:endnote>
  <w:endnote w:id="98">
    <w:p w14:paraId="5E92B25D"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w:t>
      </w:r>
      <w:hyperlink r:id="rId74">
        <w:r w:rsidRPr="00795CAC">
          <w:rPr>
            <w:color w:val="4C4C4C" w:themeColor="text2"/>
            <w:sz w:val="16"/>
            <w:szCs w:val="16"/>
            <w:u w:val="single"/>
          </w:rPr>
          <w:t>http://www.driveelectricmn.org/charging_fleets.cfm</w:t>
        </w:r>
      </w:hyperlink>
      <w:r w:rsidRPr="00795CAC">
        <w:rPr>
          <w:color w:val="4C4C4C" w:themeColor="text2"/>
          <w:sz w:val="16"/>
          <w:szCs w:val="16"/>
        </w:rPr>
        <w:t xml:space="preserve"> </w:t>
      </w:r>
    </w:p>
  </w:endnote>
  <w:endnote w:id="99">
    <w:p w14:paraId="3CD176B2"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“16C.135 Purchases of fuel and vehicles by state agencies,” the </w:t>
      </w:r>
      <w:proofErr w:type="spellStart"/>
      <w:r w:rsidRPr="00795CAC">
        <w:rPr>
          <w:color w:val="4C4C4C" w:themeColor="text2"/>
          <w:sz w:val="16"/>
          <w:szCs w:val="16"/>
        </w:rPr>
        <w:t>Revisor</w:t>
      </w:r>
      <w:proofErr w:type="spellEnd"/>
      <w:r w:rsidRPr="00795CAC">
        <w:rPr>
          <w:color w:val="4C4C4C" w:themeColor="text2"/>
          <w:sz w:val="16"/>
          <w:szCs w:val="16"/>
        </w:rPr>
        <w:t xml:space="preserve"> of Statutes, State of Minnesota, May 5, 2015,</w:t>
      </w:r>
      <w:r w:rsidRPr="00795CAC">
        <w:rPr>
          <w:rFonts w:ascii="Times New Roman" w:hAnsi="Times New Roman" w:cs="Times New Roman"/>
          <w:b/>
          <w:bCs/>
          <w:color w:val="4C4C4C" w:themeColor="text2"/>
          <w:sz w:val="16"/>
          <w:szCs w:val="16"/>
        </w:rPr>
        <w:t xml:space="preserve"> </w:t>
      </w:r>
      <w:hyperlink r:id="rId75" w:anchor="stat.16C.135.2">
        <w:r w:rsidRPr="00795CAC">
          <w:rPr>
            <w:color w:val="4C4C4C" w:themeColor="text2"/>
            <w:sz w:val="16"/>
            <w:szCs w:val="16"/>
            <w:u w:val="single"/>
          </w:rPr>
          <w:t>https://www.revisor.mn.gov/statutes/?id=16C.135#stat.16C.135.2</w:t>
        </w:r>
      </w:hyperlink>
      <w:r w:rsidRPr="00795CAC">
        <w:rPr>
          <w:color w:val="4C4C4C" w:themeColor="text2"/>
          <w:sz w:val="16"/>
          <w:szCs w:val="16"/>
        </w:rPr>
        <w:t xml:space="preserve"> </w:t>
      </w:r>
    </w:p>
  </w:endnote>
  <w:endnote w:id="100">
    <w:p w14:paraId="4AC36D7F"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w:t>
      </w:r>
      <w:r w:rsidRPr="00795CAC">
        <w:rPr>
          <w:i/>
          <w:color w:val="4C4C4C" w:themeColor="text2"/>
          <w:sz w:val="16"/>
          <w:szCs w:val="16"/>
        </w:rPr>
        <w:t>Plug-In Electric Vehicle Handbook for Fleet Managers</w:t>
      </w:r>
      <w:r w:rsidRPr="00795CAC">
        <w:rPr>
          <w:color w:val="4C4C4C" w:themeColor="text2"/>
          <w:sz w:val="16"/>
          <w:szCs w:val="16"/>
        </w:rPr>
        <w:t xml:space="preserve">, prepared by National Renewable Energy Laboratory for U.S. Department of Energy and Clean Cities, April 2012, </w:t>
      </w:r>
      <w:hyperlink r:id="rId76">
        <w:r w:rsidRPr="00795CAC">
          <w:rPr>
            <w:color w:val="4C4C4C" w:themeColor="text2"/>
            <w:sz w:val="16"/>
            <w:szCs w:val="16"/>
            <w:u w:val="single"/>
          </w:rPr>
          <w:t>http://www.afdc.energy.gov/pdfs/pev_handbook.pdf</w:t>
        </w:r>
      </w:hyperlink>
      <w:r w:rsidRPr="00795CAC">
        <w:rPr>
          <w:color w:val="4C4C4C" w:themeColor="text2"/>
          <w:sz w:val="16"/>
          <w:szCs w:val="16"/>
          <w:u w:val="single"/>
        </w:rPr>
        <w:t xml:space="preserve">. </w:t>
      </w:r>
      <w:r w:rsidRPr="00795CAC">
        <w:rPr>
          <w:rFonts w:ascii="Merriweather Sans" w:eastAsia="Merriweather Sans" w:hAnsi="Merriweather Sans" w:cs="Merriweather Sans"/>
          <w:color w:val="4C4C4C" w:themeColor="text2"/>
          <w:sz w:val="16"/>
          <w:szCs w:val="16"/>
        </w:rPr>
        <w:t xml:space="preserve"> </w:t>
      </w:r>
    </w:p>
  </w:endnote>
  <w:endnote w:id="101">
    <w:p w14:paraId="464C6B04"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w:t>
      </w:r>
      <w:r w:rsidRPr="00795CAC">
        <w:rPr>
          <w:i/>
          <w:color w:val="4C4C4C" w:themeColor="text2"/>
          <w:sz w:val="16"/>
          <w:szCs w:val="16"/>
        </w:rPr>
        <w:t xml:space="preserve">Transportation Electrification: Utility Fleets Leading the Charge, </w:t>
      </w:r>
      <w:r w:rsidRPr="00795CAC">
        <w:rPr>
          <w:color w:val="4C4C4C" w:themeColor="text2"/>
          <w:sz w:val="16"/>
          <w:szCs w:val="16"/>
        </w:rPr>
        <w:t xml:space="preserve">June 2014, Edison Electric Institute, </w:t>
      </w:r>
      <w:hyperlink r:id="rId77" w:history="1">
        <w:r w:rsidRPr="00795CAC">
          <w:rPr>
            <w:rStyle w:val="Hyperlink"/>
            <w:color w:val="4C4C4C" w:themeColor="text2"/>
            <w:sz w:val="16"/>
            <w:szCs w:val="16"/>
          </w:rPr>
          <w:t>http://www.eei.org/issuesandpolicy/electrictransportation/FleetVehicles/Documents/EEI_UtilityFleetsLeadingTheCharge.pdf</w:t>
        </w:r>
      </w:hyperlink>
      <w:r w:rsidRPr="00795CAC">
        <w:rPr>
          <w:color w:val="4C4C4C" w:themeColor="text2"/>
          <w:sz w:val="16"/>
          <w:szCs w:val="16"/>
        </w:rPr>
        <w:t>.</w:t>
      </w:r>
    </w:p>
  </w:endnote>
  <w:endnote w:id="102">
    <w:p w14:paraId="7CB25609"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w:t>
      </w:r>
      <w:proofErr w:type="spellStart"/>
      <w:r w:rsidRPr="00795CAC">
        <w:rPr>
          <w:color w:val="4C4C4C" w:themeColor="text2"/>
          <w:sz w:val="16"/>
          <w:szCs w:val="16"/>
        </w:rPr>
        <w:t>EPAct</w:t>
      </w:r>
      <w:proofErr w:type="spellEnd"/>
      <w:r w:rsidRPr="00795CAC">
        <w:rPr>
          <w:color w:val="4C4C4C" w:themeColor="text2"/>
          <w:sz w:val="16"/>
          <w:szCs w:val="16"/>
        </w:rPr>
        <w:t xml:space="preserve"> Transportation Regulatory Activities,” U.S. Department of Energy, March 21, 2014, </w:t>
      </w:r>
      <w:hyperlink r:id="rId78" w:history="1">
        <w:r w:rsidRPr="00795CAC">
          <w:rPr>
            <w:rStyle w:val="Hyperlink"/>
            <w:color w:val="4C4C4C" w:themeColor="text2"/>
            <w:sz w:val="16"/>
            <w:szCs w:val="16"/>
          </w:rPr>
          <w:t>http://www1.eere.energy.gov/vehiclesandfuels/epact/compliance_methods.html</w:t>
        </w:r>
      </w:hyperlink>
      <w:r w:rsidRPr="00795CAC">
        <w:rPr>
          <w:color w:val="4C4C4C" w:themeColor="text2"/>
          <w:sz w:val="16"/>
          <w:szCs w:val="16"/>
        </w:rPr>
        <w:t xml:space="preserve">.  </w:t>
      </w:r>
    </w:p>
  </w:endnote>
  <w:endnote w:id="103">
    <w:p w14:paraId="609B9273"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Brady Slater, “Duluth to receive six electric buses,” </w:t>
      </w:r>
      <w:r w:rsidRPr="00795CAC">
        <w:rPr>
          <w:i/>
          <w:color w:val="4C4C4C" w:themeColor="text2"/>
          <w:sz w:val="16"/>
          <w:szCs w:val="16"/>
        </w:rPr>
        <w:t xml:space="preserve">Duluth News Tribune, </w:t>
      </w:r>
      <w:r w:rsidRPr="00795CAC">
        <w:rPr>
          <w:color w:val="4C4C4C" w:themeColor="text2"/>
          <w:sz w:val="16"/>
          <w:szCs w:val="16"/>
        </w:rPr>
        <w:t xml:space="preserve">February 3, 2015, </w:t>
      </w:r>
      <w:hyperlink r:id="rId79">
        <w:r w:rsidRPr="00795CAC">
          <w:rPr>
            <w:color w:val="4C4C4C" w:themeColor="text2"/>
            <w:sz w:val="16"/>
            <w:szCs w:val="16"/>
            <w:u w:val="single"/>
          </w:rPr>
          <w:t>http://www.duluthnewstribune.com/news/3670485-duluth-receive-six-electric-buses</w:t>
        </w:r>
      </w:hyperlink>
      <w:r w:rsidRPr="00795CAC">
        <w:rPr>
          <w:color w:val="4C4C4C" w:themeColor="text2"/>
          <w:sz w:val="16"/>
          <w:szCs w:val="16"/>
          <w:u w:val="single"/>
        </w:rPr>
        <w:t xml:space="preserve">. </w:t>
      </w:r>
      <w:r w:rsidRPr="00795CAC">
        <w:rPr>
          <w:color w:val="4C4C4C" w:themeColor="text2"/>
          <w:sz w:val="16"/>
          <w:szCs w:val="16"/>
        </w:rPr>
        <w:t xml:space="preserve"> </w:t>
      </w:r>
    </w:p>
  </w:endnote>
  <w:endnote w:id="104">
    <w:p w14:paraId="4B4E374B" w14:textId="77777777" w:rsidR="006506BB" w:rsidRPr="00795CAC" w:rsidRDefault="006506BB" w:rsidP="00F655E6">
      <w:pPr>
        <w:rPr>
          <w:color w:val="4C4C4C" w:themeColor="text2"/>
          <w:sz w:val="16"/>
          <w:szCs w:val="16"/>
        </w:rPr>
      </w:pPr>
      <w:r w:rsidRPr="00795CAC">
        <w:rPr>
          <w:color w:val="4C4C4C" w:themeColor="text2"/>
          <w:sz w:val="16"/>
          <w:szCs w:val="16"/>
          <w:vertAlign w:val="superscript"/>
        </w:rPr>
        <w:endnoteRef/>
      </w:r>
      <w:r w:rsidRPr="00795CAC">
        <w:rPr>
          <w:color w:val="4C4C4C" w:themeColor="text2"/>
          <w:sz w:val="16"/>
          <w:szCs w:val="16"/>
        </w:rPr>
        <w:t xml:space="preserve"> “Metro Transit putting electric buses to the test,” Rider’s Almanac, Metro Transit, 2015, </w:t>
      </w:r>
      <w:hyperlink r:id="rId80">
        <w:r w:rsidRPr="00795CAC">
          <w:rPr>
            <w:color w:val="4C4C4C" w:themeColor="text2"/>
            <w:sz w:val="16"/>
            <w:szCs w:val="16"/>
            <w:u w:val="single"/>
          </w:rPr>
          <w:t>http://www.metrotransit.org/metro-transit-putting-electric-buses-to-the-test</w:t>
        </w:r>
      </w:hyperlink>
      <w:r w:rsidRPr="00795CAC">
        <w:rPr>
          <w:color w:val="4C4C4C" w:themeColor="text2"/>
          <w:sz w:val="16"/>
          <w:szCs w:val="16"/>
        </w:rPr>
        <w:t xml:space="preserve"> </w:t>
      </w:r>
    </w:p>
  </w:endnote>
  <w:endnote w:id="105">
    <w:p w14:paraId="12AC1935"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KPCC staff, “Antelope Valley to get all-electric bus fleet, officials say,” 89.3 KPCC, February 12, 2016,</w:t>
      </w:r>
    </w:p>
    <w:p w14:paraId="6F4FBB60" w14:textId="77777777" w:rsidR="006506BB" w:rsidRPr="00795CAC" w:rsidRDefault="006506BB" w:rsidP="00F655E6">
      <w:pPr>
        <w:rPr>
          <w:color w:val="4C4C4C" w:themeColor="text2"/>
          <w:sz w:val="16"/>
          <w:szCs w:val="16"/>
        </w:rPr>
      </w:pPr>
      <w:hyperlink r:id="rId81" w:history="1">
        <w:r w:rsidRPr="00795CAC">
          <w:rPr>
            <w:rStyle w:val="Hyperlink"/>
            <w:color w:val="4C4C4C" w:themeColor="text2"/>
            <w:sz w:val="16"/>
            <w:szCs w:val="16"/>
          </w:rPr>
          <w:t>http://www.scpr.org/news/2016/02/12/57476/antelope-valley-to-get-all-electric-bus-fleet-offi/</w:t>
        </w:r>
      </w:hyperlink>
    </w:p>
  </w:endnote>
  <w:endnote w:id="106">
    <w:p w14:paraId="60D449C2"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Mark Kane, “Chicago Transit Authority Adding Electric Buses,” Insideevs.com, February 24, 2016,</w:t>
      </w:r>
    </w:p>
    <w:p w14:paraId="4B1E894B" w14:textId="77777777" w:rsidR="006506BB" w:rsidRPr="00795CAC" w:rsidRDefault="006506BB" w:rsidP="00F655E6">
      <w:pPr>
        <w:rPr>
          <w:color w:val="4C4C4C" w:themeColor="text2"/>
          <w:sz w:val="16"/>
          <w:szCs w:val="16"/>
        </w:rPr>
      </w:pPr>
      <w:hyperlink r:id="rId82" w:history="1">
        <w:r w:rsidRPr="00795CAC">
          <w:rPr>
            <w:rStyle w:val="Hyperlink"/>
            <w:color w:val="4C4C4C" w:themeColor="text2"/>
            <w:sz w:val="16"/>
            <w:szCs w:val="16"/>
          </w:rPr>
          <w:t>http://insideevs.com/chicago-transit-authority-adding-electric-buses/</w:t>
        </w:r>
      </w:hyperlink>
      <w:r w:rsidRPr="00795CAC">
        <w:rPr>
          <w:color w:val="4C4C4C" w:themeColor="text2"/>
          <w:sz w:val="16"/>
          <w:szCs w:val="16"/>
        </w:rPr>
        <w:t>.</w:t>
      </w:r>
    </w:p>
  </w:endnote>
  <w:endnote w:id="107">
    <w:p w14:paraId="6D85D8B6"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Lucie </w:t>
      </w:r>
      <w:proofErr w:type="spellStart"/>
      <w:r w:rsidRPr="00795CAC">
        <w:rPr>
          <w:color w:val="4C4C4C" w:themeColor="text2"/>
          <w:sz w:val="16"/>
          <w:szCs w:val="16"/>
        </w:rPr>
        <w:t>Rychla</w:t>
      </w:r>
      <w:proofErr w:type="spellEnd"/>
      <w:r w:rsidRPr="00795CAC">
        <w:rPr>
          <w:color w:val="4C4C4C" w:themeColor="text2"/>
          <w:sz w:val="16"/>
          <w:szCs w:val="16"/>
        </w:rPr>
        <w:t>, “Copenhagen to test new electric buses,” CPH Post Online, October 29, 2015,</w:t>
      </w:r>
    </w:p>
    <w:p w14:paraId="42D7AF7C" w14:textId="77777777" w:rsidR="006506BB" w:rsidRPr="00795CAC" w:rsidRDefault="006506BB" w:rsidP="00F655E6">
      <w:pPr>
        <w:rPr>
          <w:color w:val="4C4C4C" w:themeColor="text2"/>
          <w:sz w:val="16"/>
          <w:szCs w:val="16"/>
        </w:rPr>
      </w:pPr>
      <w:hyperlink r:id="rId83" w:history="1">
        <w:r w:rsidRPr="00795CAC">
          <w:rPr>
            <w:rStyle w:val="Hyperlink"/>
            <w:color w:val="4C4C4C" w:themeColor="text2"/>
            <w:sz w:val="16"/>
            <w:szCs w:val="16"/>
          </w:rPr>
          <w:t>http://cphpost.dk/news/copenhagen-to-test-new-electric-buses.html</w:t>
        </w:r>
      </w:hyperlink>
    </w:p>
  </w:endnote>
  <w:endnote w:id="108">
    <w:p w14:paraId="6773FB24"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James </w:t>
      </w:r>
      <w:proofErr w:type="spellStart"/>
      <w:r w:rsidRPr="00795CAC">
        <w:rPr>
          <w:color w:val="4C4C4C" w:themeColor="text2"/>
          <w:sz w:val="16"/>
          <w:szCs w:val="16"/>
        </w:rPr>
        <w:t>Ayre</w:t>
      </w:r>
      <w:proofErr w:type="spellEnd"/>
      <w:r w:rsidRPr="00795CAC">
        <w:rPr>
          <w:color w:val="4C4C4C" w:themeColor="text2"/>
          <w:sz w:val="16"/>
          <w:szCs w:val="16"/>
        </w:rPr>
        <w:t xml:space="preserve">, “Helsinki </w:t>
      </w:r>
    </w:p>
    <w:p w14:paraId="67767EC6" w14:textId="77777777" w:rsidR="006506BB" w:rsidRPr="00795CAC" w:rsidRDefault="006506BB" w:rsidP="00F655E6">
      <w:pPr>
        <w:rPr>
          <w:color w:val="4C4C4C" w:themeColor="text2"/>
          <w:sz w:val="16"/>
          <w:szCs w:val="16"/>
        </w:rPr>
      </w:pPr>
      <w:r w:rsidRPr="00795CAC">
        <w:rPr>
          <w:color w:val="4C4C4C" w:themeColor="text2"/>
          <w:sz w:val="16"/>
          <w:szCs w:val="16"/>
        </w:rPr>
        <w:t xml:space="preserve">(Finland) Launching Lightweight Electric Bus Service Pilot,” </w:t>
      </w:r>
      <w:proofErr w:type="spellStart"/>
      <w:r w:rsidRPr="00795CAC">
        <w:rPr>
          <w:color w:val="4C4C4C" w:themeColor="text2"/>
          <w:sz w:val="16"/>
          <w:szCs w:val="16"/>
        </w:rPr>
        <w:t>CleanTechnica</w:t>
      </w:r>
      <w:proofErr w:type="spellEnd"/>
      <w:r w:rsidRPr="00795CAC">
        <w:rPr>
          <w:color w:val="4C4C4C" w:themeColor="text2"/>
          <w:sz w:val="16"/>
          <w:szCs w:val="16"/>
        </w:rPr>
        <w:t xml:space="preserve">, March 6, 2015, </w:t>
      </w:r>
      <w:hyperlink r:id="rId84" w:history="1">
        <w:r w:rsidRPr="00795CAC">
          <w:rPr>
            <w:rStyle w:val="Hyperlink"/>
            <w:color w:val="4C4C4C" w:themeColor="text2"/>
            <w:sz w:val="16"/>
            <w:szCs w:val="16"/>
          </w:rPr>
          <w:t>http://cleantechnica.com/2015/03/06/helsinki-finland-launching-light-weight-electric-bus-service-pilot/</w:t>
        </w:r>
      </w:hyperlink>
      <w:r w:rsidRPr="00795CAC">
        <w:rPr>
          <w:color w:val="4C4C4C" w:themeColor="text2"/>
          <w:sz w:val="16"/>
          <w:szCs w:val="16"/>
        </w:rPr>
        <w:t xml:space="preserve"> </w:t>
      </w:r>
    </w:p>
  </w:endnote>
  <w:endnote w:id="109">
    <w:p w14:paraId="47EA64F2" w14:textId="77777777" w:rsidR="006506BB" w:rsidRPr="00795CAC" w:rsidRDefault="006506BB" w:rsidP="00F655E6">
      <w:pPr>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“Federal and State Laws and Incentives,” Alternative Fuels Data Center, U.S. Department of Energy June 4, 2014, </w:t>
      </w:r>
      <w:hyperlink r:id="rId85" w:history="1">
        <w:r w:rsidRPr="00795CAC">
          <w:rPr>
            <w:rStyle w:val="Hyperlink"/>
            <w:color w:val="4C4C4C" w:themeColor="text2"/>
            <w:sz w:val="16"/>
            <w:szCs w:val="16"/>
          </w:rPr>
          <w:t>http://www.afdc.energy.gov/laws</w:t>
        </w:r>
      </w:hyperlink>
    </w:p>
  </w:endnote>
  <w:endnote w:id="110">
    <w:p w14:paraId="062F6ACA" w14:textId="77777777" w:rsidR="006506BB" w:rsidRPr="00795CAC" w:rsidRDefault="006506BB" w:rsidP="00F655E6">
      <w:pPr>
        <w:rPr>
          <w:color w:val="4C4C4C" w:themeColor="text2"/>
          <w:sz w:val="16"/>
          <w:szCs w:val="16"/>
          <w:highlight w:val="yellow"/>
        </w:rPr>
      </w:pPr>
      <w:r w:rsidRPr="00795CAC">
        <w:rPr>
          <w:rStyle w:val="EndnoteReference"/>
          <w:color w:val="4C4C4C" w:themeColor="text2"/>
          <w:sz w:val="16"/>
          <w:szCs w:val="16"/>
        </w:rPr>
        <w:endnoteRef/>
      </w:r>
      <w:r w:rsidRPr="00795CAC">
        <w:rPr>
          <w:color w:val="4C4C4C" w:themeColor="text2"/>
          <w:sz w:val="16"/>
          <w:szCs w:val="16"/>
        </w:rPr>
        <w:t xml:space="preserve"> “Alternative Fueling Station Locator,” Alternative Fuels Data Center, U.S. Department of Energy, March 21, 2016, </w:t>
      </w:r>
      <w:hyperlink r:id="rId86" w:history="1">
        <w:r w:rsidRPr="00795CAC">
          <w:rPr>
            <w:rStyle w:val="Hyperlink"/>
            <w:color w:val="4C4C4C" w:themeColor="text2"/>
            <w:sz w:val="16"/>
            <w:szCs w:val="16"/>
          </w:rPr>
          <w:t>http://www.afdc.energy.gov/locator/stations/</w:t>
        </w:r>
      </w:hyperlink>
      <w:r w:rsidRPr="00795CAC">
        <w:rPr>
          <w:color w:val="4C4C4C" w:themeColor="text2"/>
          <w:sz w:val="16"/>
          <w:szCs w:val="16"/>
        </w:rPr>
        <w:t>.</w:t>
      </w:r>
    </w:p>
  </w:endnote>
  <w:endnote w:id="111">
    <w:p w14:paraId="642076CF" w14:textId="77777777" w:rsidR="006506BB" w:rsidRPr="00795CAC" w:rsidRDefault="006506BB" w:rsidP="00F655E6">
      <w:pPr>
        <w:pStyle w:val="EndnoteText"/>
        <w:rPr>
          <w:color w:val="4C4C4C" w:themeColor="text2"/>
          <w:sz w:val="16"/>
          <w:szCs w:val="16"/>
        </w:rPr>
      </w:pPr>
      <w:r w:rsidRPr="00795CAC">
        <w:rPr>
          <w:rStyle w:val="EndnoteReference"/>
          <w:color w:val="4C4C4C" w:themeColor="text2"/>
          <w:sz w:val="16"/>
          <w:szCs w:val="16"/>
        </w:rPr>
        <w:endnoteRef/>
      </w:r>
      <w:r w:rsidRPr="00795CAC">
        <w:rPr>
          <w:color w:val="4C4C4C" w:themeColor="text2"/>
          <w:sz w:val="16"/>
          <w:szCs w:val="16"/>
        </w:rPr>
        <w:t xml:space="preserve"> Joanna D. Underwood and Matthew P. </w:t>
      </w:r>
      <w:proofErr w:type="spellStart"/>
      <w:r w:rsidRPr="00795CAC">
        <w:rPr>
          <w:color w:val="4C4C4C" w:themeColor="text2"/>
          <w:sz w:val="16"/>
          <w:szCs w:val="16"/>
        </w:rPr>
        <w:t>Tomich</w:t>
      </w:r>
      <w:proofErr w:type="spellEnd"/>
      <w:r w:rsidRPr="00795CAC">
        <w:rPr>
          <w:color w:val="4C4C4C" w:themeColor="text2"/>
          <w:sz w:val="16"/>
          <w:szCs w:val="16"/>
        </w:rPr>
        <w:t xml:space="preserve">, </w:t>
      </w:r>
      <w:r w:rsidRPr="00795CAC">
        <w:rPr>
          <w:i/>
          <w:color w:val="4C4C4C" w:themeColor="text2"/>
          <w:sz w:val="16"/>
          <w:szCs w:val="16"/>
        </w:rPr>
        <w:t xml:space="preserve">Turning Waste into Vehicle Fuel: Renewable Natural Gas (RNG): A Step-By-Step Guide for Communities, </w:t>
      </w:r>
      <w:r w:rsidRPr="00795CAC">
        <w:rPr>
          <w:color w:val="4C4C4C" w:themeColor="text2"/>
          <w:sz w:val="16"/>
          <w:szCs w:val="16"/>
        </w:rPr>
        <w:t>Energy Vision, no date,</w:t>
      </w:r>
      <w:r w:rsidRPr="00795CAC">
        <w:rPr>
          <w:i/>
          <w:color w:val="4C4C4C" w:themeColor="text2"/>
          <w:sz w:val="16"/>
          <w:szCs w:val="16"/>
        </w:rPr>
        <w:t xml:space="preserve"> </w:t>
      </w:r>
      <w:r w:rsidRPr="00795CAC">
        <w:rPr>
          <w:color w:val="4C4C4C" w:themeColor="text2"/>
          <w:sz w:val="16"/>
          <w:szCs w:val="16"/>
        </w:rPr>
        <w:t>http://energy-vision.org/ev-publications/EV-RNG-Community-Guide.pdf</w:t>
      </w:r>
    </w:p>
  </w:endnote>
  <w:endnote w:id="112">
    <w:p w14:paraId="750722CE" w14:textId="77777777" w:rsidR="006506BB" w:rsidRPr="00AB1ECB" w:rsidRDefault="006506BB" w:rsidP="00A1284B">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“Minnesota State Profile and Energy Estimates,” U.S. Energy Information Administration, March 17, 2016, </w:t>
      </w:r>
      <w:hyperlink r:id="rId87" w:anchor="tabs-2">
        <w:r w:rsidRPr="00AB1ECB">
          <w:rPr>
            <w:color w:val="4C4C4C" w:themeColor="text2"/>
            <w:sz w:val="16"/>
            <w:szCs w:val="16"/>
            <w:u w:val="single"/>
          </w:rPr>
          <w:t>http://www.eia.gov/state/?sid=MN#tabs-2</w:t>
        </w:r>
      </w:hyperlink>
    </w:p>
  </w:endnote>
  <w:endnote w:id="113">
    <w:p w14:paraId="1E0C2C35" w14:textId="250F3FED" w:rsidR="006506BB" w:rsidRPr="00AB1ECB" w:rsidRDefault="006506BB" w:rsidP="00413782">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“Primer on Minnesota Energy,” Minnesota Legislative Energy Commission, March 11, 2016, http://www.lec.leg.mn/projects/MNEnergyPrimer.pdf.</w:t>
      </w:r>
    </w:p>
  </w:endnote>
  <w:endnote w:id="114">
    <w:p w14:paraId="5408A453" w14:textId="115880C8" w:rsidR="006506BB" w:rsidRPr="00AB1ECB" w:rsidRDefault="006506BB" w:rsidP="00413782">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“Form EIA-860 detailed data,” U.S. Energy Information Administration, October 21, 2015, https://www.eia.gov/electricity/data/eia860/</w:t>
      </w:r>
    </w:p>
  </w:endnote>
  <w:endnote w:id="115">
    <w:p w14:paraId="6A94F165" w14:textId="77777777" w:rsidR="006506BB" w:rsidRPr="00AB1ECB" w:rsidRDefault="006506BB" w:rsidP="00413782">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EIA, 2015</w:t>
      </w:r>
    </w:p>
  </w:endnote>
  <w:endnote w:id="116">
    <w:p w14:paraId="6EFDA973" w14:textId="77777777" w:rsidR="006506BB" w:rsidRPr="00AB1ECB" w:rsidRDefault="006506BB" w:rsidP="00413782">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Lawrence Livermore National Laboratory. “Estimated Minnesota Energy Use in 2012.” https://flowcharts.llnl.gov/commodities/energy</w:t>
      </w:r>
    </w:p>
  </w:endnote>
  <w:endnote w:id="117">
    <w:p w14:paraId="0A9A1CD5" w14:textId="77777777" w:rsidR="006506BB" w:rsidRPr="00AB1ECB" w:rsidRDefault="006506BB" w:rsidP="00634F1C">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“21 percent of Minnesota’s electricity came from renewables in 2015,” Minnesota Department of Commerce, March 3, 2016, </w:t>
      </w:r>
      <w:hyperlink r:id="rId88" w:anchor="/list/appId//filterType//filterValue//page//sort//order/" w:history="1">
        <w:r w:rsidRPr="00AB1ECB">
          <w:rPr>
            <w:rStyle w:val="Hyperlink"/>
            <w:color w:val="4C4C4C" w:themeColor="text2"/>
            <w:sz w:val="16"/>
            <w:szCs w:val="16"/>
          </w:rPr>
          <w:t>http://mn.gov/commerce/media/news/index.jsp?id=17156648#/list/appId//filterType//filterValue//page//sort//order/</w:t>
        </w:r>
      </w:hyperlink>
      <w:r w:rsidRPr="00AB1ECB">
        <w:rPr>
          <w:color w:val="4C4C4C" w:themeColor="text2"/>
          <w:sz w:val="16"/>
          <w:szCs w:val="16"/>
        </w:rPr>
        <w:t xml:space="preserve">.  </w:t>
      </w:r>
    </w:p>
  </w:endnote>
  <w:endnote w:id="118">
    <w:p w14:paraId="1953D9C6" w14:textId="7ADF1401" w:rsidR="006506BB" w:rsidRPr="00AB1ECB" w:rsidRDefault="006506BB" w:rsidP="00E01553">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KP Schneider, JC fuller, FK </w:t>
      </w:r>
      <w:proofErr w:type="spellStart"/>
      <w:r w:rsidRPr="00AB1ECB">
        <w:rPr>
          <w:color w:val="4C4C4C" w:themeColor="text2"/>
          <w:sz w:val="16"/>
          <w:szCs w:val="16"/>
        </w:rPr>
        <w:t>Tuffner</w:t>
      </w:r>
      <w:proofErr w:type="spellEnd"/>
      <w:r w:rsidRPr="00AB1ECB">
        <w:rPr>
          <w:color w:val="4C4C4C" w:themeColor="text2"/>
          <w:sz w:val="16"/>
          <w:szCs w:val="16"/>
        </w:rPr>
        <w:t>, R Singh, “Evaluation of Conservation Voltage Reduction (CVR) on a National Level,” prepared by Pacific Northwest National Laboratory for the U.S. Department of Energy, July 2010, http://www.pnl.gov/main/publications/external/technical_reports/PNNL-19596.pdf</w:t>
      </w:r>
    </w:p>
  </w:endnote>
  <w:endnote w:id="119">
    <w:p w14:paraId="41BB7490" w14:textId="26AC5E48" w:rsidR="006506BB" w:rsidRPr="00AB1ECB" w:rsidRDefault="006506BB">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“Annual Electric Power Industry Report,” U.S. Energy Information Administration, 2016, </w:t>
      </w:r>
      <w:hyperlink r:id="rId89" w:history="1">
        <w:r w:rsidRPr="00AB1ECB">
          <w:rPr>
            <w:rStyle w:val="Hyperlink"/>
            <w:color w:val="4C4C4C" w:themeColor="text2"/>
            <w:sz w:val="16"/>
            <w:szCs w:val="16"/>
          </w:rPr>
          <w:t>https://www.eia.gov/electricity/data/eia861/</w:t>
        </w:r>
      </w:hyperlink>
      <w:r w:rsidRPr="00AB1ECB">
        <w:rPr>
          <w:color w:val="4C4C4C" w:themeColor="text2"/>
          <w:sz w:val="16"/>
          <w:szCs w:val="16"/>
        </w:rPr>
        <w:t xml:space="preserve"> </w:t>
      </w:r>
    </w:p>
  </w:endnote>
  <w:endnote w:id="120">
    <w:p w14:paraId="1563E021" w14:textId="40B64E6A" w:rsidR="006506BB" w:rsidRPr="00AB1ECB" w:rsidRDefault="006506BB" w:rsidP="00F455AD">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“Electric power sales, revenue, and energy efficiency form EIA-861 detailed data files,” U.S. Energy Information Administration, October 21, 2015, https://www.eia.gov/electricity/data/eia861/.</w:t>
      </w:r>
    </w:p>
  </w:endnote>
  <w:endnote w:id="121">
    <w:p w14:paraId="3D2D4396" w14:textId="676C8A18" w:rsidR="006506BB" w:rsidRPr="00AB1ECB" w:rsidRDefault="006506BB">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Minnesota Public Utilities Commission, docket 15-556, </w:t>
      </w:r>
      <w:hyperlink r:id="rId90" w:history="1">
        <w:r w:rsidRPr="00AB1ECB">
          <w:rPr>
            <w:rStyle w:val="Hyperlink"/>
            <w:color w:val="4C4C4C" w:themeColor="text2"/>
            <w:sz w:val="16"/>
            <w:szCs w:val="16"/>
          </w:rPr>
          <w:t>https://www.edockets.state.mn.us/EFiling/edockets/searchDocuments.do?method=eDocketsResult&amp;docketYear=15&amp;docketNumber=556</w:t>
        </w:r>
      </w:hyperlink>
      <w:r w:rsidRPr="00AB1ECB">
        <w:rPr>
          <w:color w:val="4C4C4C" w:themeColor="text2"/>
          <w:sz w:val="16"/>
          <w:szCs w:val="16"/>
        </w:rPr>
        <w:t xml:space="preserve"> </w:t>
      </w:r>
    </w:p>
  </w:endnote>
  <w:endnote w:id="122">
    <w:p w14:paraId="16FF6E2F" w14:textId="77777777" w:rsidR="006506BB" w:rsidRPr="00AB1ECB" w:rsidRDefault="006506BB" w:rsidP="000D3CE6">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w:t>
      </w:r>
      <w:r w:rsidRPr="00AB1ECB">
        <w:rPr>
          <w:i/>
          <w:color w:val="4C4C4C" w:themeColor="text2"/>
          <w:sz w:val="16"/>
          <w:szCs w:val="16"/>
        </w:rPr>
        <w:t>Smartgrid.gov</w:t>
      </w:r>
      <w:r w:rsidRPr="00AB1ECB">
        <w:rPr>
          <w:color w:val="4C4C4C" w:themeColor="text2"/>
          <w:sz w:val="16"/>
          <w:szCs w:val="16"/>
        </w:rPr>
        <w:t xml:space="preserve">, U.S. Department of Energy, accessed March 21, 2016, </w:t>
      </w:r>
      <w:hyperlink r:id="rId91" w:history="1">
        <w:r w:rsidRPr="00AB1ECB">
          <w:rPr>
            <w:rStyle w:val="Hyperlink"/>
            <w:rFonts w:cs="Lucida Grande"/>
            <w:color w:val="4C4C4C" w:themeColor="text2"/>
            <w:sz w:val="16"/>
            <w:szCs w:val="16"/>
          </w:rPr>
          <w:t>https://www.smartgrid.gov/</w:t>
        </w:r>
      </w:hyperlink>
    </w:p>
  </w:endnote>
  <w:endnote w:id="123">
    <w:p w14:paraId="6032ADE1" w14:textId="77777777" w:rsidR="006506BB" w:rsidRPr="00AB1ECB" w:rsidRDefault="006506BB" w:rsidP="000D3CE6">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“Smart Grid Investment Grant Program,” Smartgrid.gov, accessed March 21, 2016, </w:t>
      </w:r>
      <w:hyperlink r:id="rId92" w:history="1">
        <w:r w:rsidRPr="00AB1ECB">
          <w:rPr>
            <w:rStyle w:val="Hyperlink"/>
            <w:color w:val="4C4C4C" w:themeColor="text2"/>
            <w:sz w:val="16"/>
            <w:szCs w:val="16"/>
          </w:rPr>
          <w:t>https://www.smartgrid.gov/recovery_act/overview/smart_grid_investment_grant_program.html</w:t>
        </w:r>
      </w:hyperlink>
      <w:r w:rsidRPr="00AB1ECB">
        <w:rPr>
          <w:color w:val="4C4C4C" w:themeColor="text2"/>
          <w:sz w:val="16"/>
          <w:szCs w:val="16"/>
        </w:rPr>
        <w:t>.</w:t>
      </w:r>
    </w:p>
  </w:endnote>
  <w:endnote w:id="124">
    <w:p w14:paraId="13458268" w14:textId="77777777" w:rsidR="006506BB" w:rsidRPr="00AB1ECB" w:rsidRDefault="006506BB" w:rsidP="000D3CE6">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“Consumer Behavior Studies,” Smartgrid.gov, accessed March 21, 2016, </w:t>
      </w:r>
      <w:hyperlink r:id="rId93" w:history="1">
        <w:r w:rsidRPr="00AB1ECB">
          <w:rPr>
            <w:rStyle w:val="Hyperlink"/>
            <w:rFonts w:cs="Lucida Grande"/>
            <w:color w:val="4C4C4C" w:themeColor="text2"/>
            <w:sz w:val="16"/>
            <w:szCs w:val="16"/>
          </w:rPr>
          <w:t>https://www.smartgrid.gov/recovery_act/overview/consumer_behavior_studies.html</w:t>
        </w:r>
      </w:hyperlink>
      <w:r w:rsidRPr="00AB1ECB">
        <w:rPr>
          <w:rFonts w:cs="Lucida Grande"/>
          <w:color w:val="4C4C4C" w:themeColor="text2"/>
          <w:sz w:val="16"/>
          <w:szCs w:val="16"/>
        </w:rPr>
        <w:t xml:space="preserve">. </w:t>
      </w:r>
    </w:p>
  </w:endnote>
  <w:endnote w:id="125">
    <w:p w14:paraId="50BE76EB" w14:textId="05453D32" w:rsidR="006506BB" w:rsidRPr="00AB1ECB" w:rsidRDefault="006506BB">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“Rolling out smart inverters,” Solar Electric Power Association, 2015, </w:t>
      </w:r>
      <w:hyperlink r:id="rId94" w:history="1">
        <w:r w:rsidRPr="00AB1ECB">
          <w:rPr>
            <w:rStyle w:val="Hyperlink"/>
            <w:color w:val="4C4C4C" w:themeColor="text2"/>
            <w:sz w:val="16"/>
            <w:szCs w:val="16"/>
          </w:rPr>
          <w:t>http://www.epri.com/abstracts/Pages/ProductAbstract.aspx?ProductId=000000003002007047</w:t>
        </w:r>
      </w:hyperlink>
      <w:r w:rsidRPr="00AB1ECB">
        <w:rPr>
          <w:color w:val="4C4C4C" w:themeColor="text2"/>
          <w:sz w:val="16"/>
          <w:szCs w:val="16"/>
        </w:rPr>
        <w:t xml:space="preserve"> </w:t>
      </w:r>
    </w:p>
  </w:endnote>
  <w:endnote w:id="126">
    <w:p w14:paraId="386FA8E4" w14:textId="6DD2882F" w:rsidR="006506BB" w:rsidRPr="00AB1ECB" w:rsidRDefault="006506BB" w:rsidP="00D60FE1">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Ryan Edge, Ben York, and </w:t>
      </w:r>
      <w:proofErr w:type="spellStart"/>
      <w:r w:rsidRPr="00AB1ECB">
        <w:rPr>
          <w:color w:val="4C4C4C" w:themeColor="text2"/>
          <w:sz w:val="16"/>
          <w:szCs w:val="16"/>
        </w:rPr>
        <w:t>Nadav</w:t>
      </w:r>
      <w:proofErr w:type="spellEnd"/>
      <w:r w:rsidRPr="00AB1ECB">
        <w:rPr>
          <w:color w:val="4C4C4C" w:themeColor="text2"/>
          <w:sz w:val="16"/>
          <w:szCs w:val="16"/>
        </w:rPr>
        <w:t xml:space="preserve"> </w:t>
      </w:r>
      <w:proofErr w:type="spellStart"/>
      <w:r w:rsidRPr="00AB1ECB">
        <w:rPr>
          <w:color w:val="4C4C4C" w:themeColor="text2"/>
          <w:sz w:val="16"/>
          <w:szCs w:val="16"/>
        </w:rPr>
        <w:t>Enbar</w:t>
      </w:r>
      <w:proofErr w:type="spellEnd"/>
      <w:r w:rsidRPr="00AB1ECB">
        <w:rPr>
          <w:color w:val="4C4C4C" w:themeColor="text2"/>
          <w:sz w:val="16"/>
          <w:szCs w:val="16"/>
        </w:rPr>
        <w:t xml:space="preserve">, “Rolling Out Smart Inverters: Assessing Utility Strategies and Approaches,” Solar Electric Power Association and Electric Power Research Institute, November 4, 2015, </w:t>
      </w:r>
      <w:hyperlink r:id="rId95" w:history="1">
        <w:r w:rsidRPr="00AB1ECB">
          <w:rPr>
            <w:rStyle w:val="Hyperlink"/>
            <w:color w:val="4C4C4C" w:themeColor="text2"/>
            <w:sz w:val="16"/>
            <w:szCs w:val="16"/>
          </w:rPr>
          <w:t>http://www.epri.com/abstracts/Pages/ProductAbstract.aspx?ProductId=000000003002007047</w:t>
        </w:r>
      </w:hyperlink>
      <w:r w:rsidRPr="00AB1ECB">
        <w:rPr>
          <w:color w:val="4C4C4C" w:themeColor="text2"/>
          <w:sz w:val="16"/>
          <w:szCs w:val="16"/>
        </w:rPr>
        <w:t>.</w:t>
      </w:r>
    </w:p>
  </w:endnote>
  <w:endnote w:id="127">
    <w:p w14:paraId="76EADA67" w14:textId="5AC25397" w:rsidR="006506BB" w:rsidRPr="00AB1ECB" w:rsidRDefault="006506BB">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Reiter, Emerson et al., “Industry Perspectives on Advanced Inverters for U.S. Solar Photovoltaic Systems: Grid Benefits, Deployment Challenges, and Emerging Solutions,” National Renewable Energy Laboratory, 2015, </w:t>
      </w:r>
      <w:hyperlink r:id="rId96" w:history="1">
        <w:r w:rsidRPr="00AB1ECB">
          <w:rPr>
            <w:rStyle w:val="Hyperlink"/>
            <w:color w:val="4C4C4C" w:themeColor="text2"/>
            <w:sz w:val="16"/>
            <w:szCs w:val="16"/>
          </w:rPr>
          <w:t>http://www.nrel.gov/docs/fy15osti/65063.pdf</w:t>
        </w:r>
      </w:hyperlink>
      <w:r w:rsidRPr="00AB1ECB">
        <w:rPr>
          <w:color w:val="4C4C4C" w:themeColor="text2"/>
          <w:sz w:val="16"/>
          <w:szCs w:val="16"/>
        </w:rPr>
        <w:t xml:space="preserve"> </w:t>
      </w:r>
    </w:p>
  </w:endnote>
  <w:endnote w:id="128">
    <w:p w14:paraId="319EBE12" w14:textId="3E9C0DA2" w:rsidR="006506BB" w:rsidRPr="00AB1ECB" w:rsidRDefault="006506BB" w:rsidP="00B37CBA">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“Peak-to-average electricity demand ratio rising in New England and many other U.S. regions,” </w:t>
      </w:r>
      <w:r w:rsidRPr="00AB1ECB">
        <w:rPr>
          <w:i/>
          <w:color w:val="4C4C4C" w:themeColor="text2"/>
          <w:sz w:val="16"/>
          <w:szCs w:val="16"/>
        </w:rPr>
        <w:t>Today in Energy,</w:t>
      </w:r>
      <w:r w:rsidRPr="00AB1ECB">
        <w:rPr>
          <w:color w:val="4C4C4C" w:themeColor="text2"/>
          <w:sz w:val="16"/>
          <w:szCs w:val="16"/>
        </w:rPr>
        <w:t xml:space="preserve"> U.S. Energy Information Administration, February 18, 2014, </w:t>
      </w:r>
      <w:hyperlink r:id="rId97" w:history="1">
        <w:r w:rsidRPr="00AB1ECB">
          <w:rPr>
            <w:rStyle w:val="Hyperlink"/>
            <w:color w:val="4C4C4C" w:themeColor="text2"/>
            <w:sz w:val="16"/>
            <w:szCs w:val="16"/>
          </w:rPr>
          <w:t>https://www.eia.gov/todayinenergy/detail.cfm?id=15051</w:t>
        </w:r>
      </w:hyperlink>
    </w:p>
  </w:endnote>
  <w:endnote w:id="129">
    <w:p w14:paraId="31EE90CE" w14:textId="62EA5CDB" w:rsidR="006506BB" w:rsidRPr="00AB1ECB" w:rsidRDefault="006506BB" w:rsidP="00B37CBA">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Eric </w:t>
      </w:r>
      <w:proofErr w:type="spellStart"/>
      <w:r w:rsidRPr="00AB1ECB">
        <w:rPr>
          <w:color w:val="4C4C4C" w:themeColor="text2"/>
          <w:sz w:val="16"/>
          <w:szCs w:val="16"/>
        </w:rPr>
        <w:t>Wesoff</w:t>
      </w:r>
      <w:proofErr w:type="spellEnd"/>
      <w:r w:rsidRPr="00AB1ECB">
        <w:rPr>
          <w:color w:val="4C4C4C" w:themeColor="text2"/>
          <w:sz w:val="16"/>
          <w:szCs w:val="16"/>
        </w:rPr>
        <w:t xml:space="preserve">, “NextEra on Storage: ‘Post 2020, There May Never Be Another Peaker Built in the US,’” </w:t>
      </w:r>
      <w:proofErr w:type="spellStart"/>
      <w:r w:rsidRPr="00AB1ECB">
        <w:rPr>
          <w:color w:val="4C4C4C" w:themeColor="text2"/>
          <w:sz w:val="16"/>
          <w:szCs w:val="16"/>
        </w:rPr>
        <w:t>Greentech</w:t>
      </w:r>
      <w:proofErr w:type="spellEnd"/>
      <w:r w:rsidRPr="00AB1ECB">
        <w:rPr>
          <w:color w:val="4C4C4C" w:themeColor="text2"/>
          <w:sz w:val="16"/>
          <w:szCs w:val="16"/>
        </w:rPr>
        <w:t xml:space="preserve"> Media, September 30, 2015, </w:t>
      </w:r>
      <w:hyperlink r:id="rId98" w:history="1">
        <w:r w:rsidRPr="00AB1ECB">
          <w:rPr>
            <w:rStyle w:val="Hyperlink"/>
            <w:color w:val="4C4C4C" w:themeColor="text2"/>
            <w:sz w:val="16"/>
            <w:szCs w:val="16"/>
          </w:rPr>
          <w:t>http://www.greentechmedia.com/articles/read/NextEra-on-Storage-Post-2020-There-May-Never-be-Another-Peaker-Built-in-t</w:t>
        </w:r>
      </w:hyperlink>
    </w:p>
  </w:endnote>
  <w:endnote w:id="130">
    <w:p w14:paraId="283607A1" w14:textId="5546327E" w:rsidR="006506BB" w:rsidRPr="00AB1ECB" w:rsidRDefault="006506BB" w:rsidP="00B37CBA">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“2050 demand response supply curves,” Rocky Mountain Institute, 2016, http://www.rmi.org/RFGraph-2050_demand_response_supply_curves.  </w:t>
      </w:r>
    </w:p>
  </w:endnote>
  <w:endnote w:id="131">
    <w:p w14:paraId="2FFD6591" w14:textId="0900E9C3" w:rsidR="006506BB" w:rsidRPr="00AB1ECB" w:rsidRDefault="006506BB" w:rsidP="00663C1D">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Minnesota Public Utilities Commission, docket 15-962</w:t>
      </w:r>
    </w:p>
  </w:endnote>
  <w:endnote w:id="132">
    <w:p w14:paraId="272E2958" w14:textId="77777777" w:rsidR="006506BB" w:rsidRPr="00AB1ECB" w:rsidRDefault="006506BB" w:rsidP="00663C1D">
      <w:pPr>
        <w:pStyle w:val="EndnoteText"/>
        <w:rPr>
          <w:color w:val="4C4C4C" w:themeColor="text2"/>
          <w:sz w:val="16"/>
          <w:szCs w:val="16"/>
          <w:highlight w:val="yellow"/>
        </w:rPr>
      </w:pPr>
      <w:r w:rsidRPr="00AB1ECB">
        <w:rPr>
          <w:rStyle w:val="EndnoteReference"/>
          <w:color w:val="4C4C4C" w:themeColor="text2"/>
          <w:sz w:val="16"/>
          <w:szCs w:val="16"/>
        </w:rPr>
        <w:endnoteRef/>
      </w:r>
      <w:r w:rsidRPr="00AB1ECB">
        <w:rPr>
          <w:color w:val="4C4C4C" w:themeColor="text2"/>
          <w:sz w:val="16"/>
          <w:szCs w:val="16"/>
        </w:rPr>
        <w:t xml:space="preserve"> “Energy Storage 101: A Quick-Reference Handbook,” The Energy Transition Lab, University of Minnesota, 2015, </w:t>
      </w:r>
      <w:r w:rsidRPr="00AB1ECB">
        <w:rPr>
          <w:rFonts w:cs="Lucida Grande"/>
          <w:color w:val="4C4C4C" w:themeColor="text2"/>
          <w:sz w:val="16"/>
          <w:szCs w:val="16"/>
        </w:rPr>
        <w:t>http://energytransition.umn.edu/wp-content/uploads/2015/08/Energy-Storage-101.pdf</w:t>
      </w:r>
    </w:p>
  </w:endnote>
  <w:endnote w:id="133">
    <w:p w14:paraId="30F4DB41" w14:textId="77777777" w:rsidR="006506BB" w:rsidRPr="00AB1ECB" w:rsidRDefault="006506BB" w:rsidP="00663C1D">
      <w:pPr>
        <w:pStyle w:val="EndnoteText"/>
        <w:rPr>
          <w:color w:val="4C4C4C" w:themeColor="text2"/>
          <w:sz w:val="16"/>
          <w:szCs w:val="16"/>
          <w:highlight w:val="yellow"/>
        </w:rPr>
      </w:pPr>
      <w:r w:rsidRPr="00AB1ECB">
        <w:rPr>
          <w:rStyle w:val="EndnoteReference"/>
          <w:color w:val="4C4C4C" w:themeColor="text2"/>
          <w:sz w:val="16"/>
          <w:szCs w:val="16"/>
        </w:rPr>
        <w:endnoteRef/>
      </w:r>
      <w:r w:rsidRPr="00AB1ECB">
        <w:rPr>
          <w:color w:val="4C4C4C" w:themeColor="text2"/>
          <w:sz w:val="16"/>
          <w:szCs w:val="16"/>
        </w:rPr>
        <w:t xml:space="preserve"> “Environment and Natural Resources Trust Fund, 2016 Request for Proposals (RFP),” Legislative-Citizen Commission on Minnesota Resources, 2016, </w:t>
      </w:r>
      <w:r w:rsidRPr="00AB1ECB">
        <w:rPr>
          <w:rFonts w:cs="Lucida Grande"/>
          <w:color w:val="4C4C4C" w:themeColor="text2"/>
          <w:sz w:val="16"/>
          <w:szCs w:val="16"/>
        </w:rPr>
        <w:t>http://www.lccmr.leg.mn/proposals/2016/original/144-e.pdf</w:t>
      </w:r>
    </w:p>
  </w:endnote>
  <w:endnote w:id="134">
    <w:p w14:paraId="3C8C0EA0" w14:textId="77777777" w:rsidR="006506BB" w:rsidRPr="00AB1ECB" w:rsidRDefault="006506BB" w:rsidP="00663C1D">
      <w:pPr>
        <w:pStyle w:val="EndnoteText"/>
        <w:rPr>
          <w:color w:val="4C4C4C" w:themeColor="text2"/>
          <w:sz w:val="16"/>
          <w:szCs w:val="16"/>
          <w:highlight w:val="yellow"/>
        </w:rPr>
      </w:pPr>
      <w:r w:rsidRPr="00AB1ECB">
        <w:rPr>
          <w:rStyle w:val="EndnoteReference"/>
          <w:color w:val="4C4C4C" w:themeColor="text2"/>
          <w:sz w:val="16"/>
          <w:szCs w:val="16"/>
        </w:rPr>
        <w:endnoteRef/>
      </w:r>
      <w:r w:rsidRPr="00AB1ECB">
        <w:rPr>
          <w:color w:val="4C4C4C" w:themeColor="text2"/>
          <w:sz w:val="16"/>
          <w:szCs w:val="16"/>
        </w:rPr>
        <w:t xml:space="preserve"> Chris </w:t>
      </w:r>
      <w:proofErr w:type="spellStart"/>
      <w:r w:rsidRPr="00AB1ECB">
        <w:rPr>
          <w:color w:val="4C4C4C" w:themeColor="text2"/>
          <w:sz w:val="16"/>
          <w:szCs w:val="16"/>
        </w:rPr>
        <w:t>Edgette</w:t>
      </w:r>
      <w:proofErr w:type="spellEnd"/>
      <w:r w:rsidRPr="00AB1ECB">
        <w:rPr>
          <w:color w:val="4C4C4C" w:themeColor="text2"/>
          <w:sz w:val="16"/>
          <w:szCs w:val="16"/>
        </w:rPr>
        <w:t xml:space="preserve">, Giovanni </w:t>
      </w:r>
      <w:proofErr w:type="spellStart"/>
      <w:r w:rsidRPr="00AB1ECB">
        <w:rPr>
          <w:color w:val="4C4C4C" w:themeColor="text2"/>
          <w:sz w:val="16"/>
          <w:szCs w:val="16"/>
        </w:rPr>
        <w:t>Damato</w:t>
      </w:r>
      <w:proofErr w:type="spellEnd"/>
      <w:r w:rsidRPr="00AB1ECB">
        <w:rPr>
          <w:color w:val="4C4C4C" w:themeColor="text2"/>
          <w:sz w:val="16"/>
          <w:szCs w:val="16"/>
        </w:rPr>
        <w:t xml:space="preserve">, Janice Lin “White Paper Analysis of Utility-Managed, On-Site Energy Storage in Minnesota,” prepared by </w:t>
      </w:r>
      <w:proofErr w:type="spellStart"/>
      <w:r w:rsidRPr="00AB1ECB">
        <w:rPr>
          <w:color w:val="4C4C4C" w:themeColor="text2"/>
          <w:sz w:val="16"/>
          <w:szCs w:val="16"/>
        </w:rPr>
        <w:t>Strategen</w:t>
      </w:r>
      <w:proofErr w:type="spellEnd"/>
      <w:r w:rsidRPr="00AB1ECB">
        <w:rPr>
          <w:color w:val="4C4C4C" w:themeColor="text2"/>
          <w:sz w:val="16"/>
          <w:szCs w:val="16"/>
        </w:rPr>
        <w:t xml:space="preserve"> Consulting for Minnesota Department of Commerce, Division of Energy Resources, December 2013,  </w:t>
      </w:r>
      <w:hyperlink r:id="rId99" w:history="1">
        <w:r w:rsidRPr="00AB1ECB">
          <w:rPr>
            <w:rStyle w:val="Hyperlink"/>
            <w:rFonts w:cs="Lucida Grande"/>
            <w:color w:val="4C4C4C" w:themeColor="text2"/>
            <w:sz w:val="16"/>
            <w:szCs w:val="16"/>
          </w:rPr>
          <w:t>http://mn.gov/commerce-stat/pdfs/utility-managed-storge-study.pdf</w:t>
        </w:r>
      </w:hyperlink>
      <w:r w:rsidRPr="00AB1ECB">
        <w:rPr>
          <w:rFonts w:cs="Lucida Grande"/>
          <w:color w:val="4C4C4C" w:themeColor="text2"/>
          <w:sz w:val="16"/>
          <w:szCs w:val="16"/>
        </w:rPr>
        <w:t xml:space="preserve"> </w:t>
      </w:r>
    </w:p>
  </w:endnote>
  <w:endnote w:id="135">
    <w:p w14:paraId="6419EAF0" w14:textId="77777777" w:rsidR="006506BB" w:rsidRPr="00AB1ECB" w:rsidRDefault="006506BB" w:rsidP="00663C1D">
      <w:pPr>
        <w:pStyle w:val="EndnoteText"/>
        <w:rPr>
          <w:color w:val="4C4C4C" w:themeColor="text2"/>
          <w:sz w:val="16"/>
          <w:szCs w:val="16"/>
          <w:highlight w:val="yellow"/>
        </w:rPr>
      </w:pPr>
      <w:r w:rsidRPr="00AB1ECB">
        <w:rPr>
          <w:rStyle w:val="EndnoteReference"/>
          <w:color w:val="4C4C4C" w:themeColor="text2"/>
          <w:sz w:val="16"/>
          <w:szCs w:val="16"/>
        </w:rPr>
        <w:endnoteRef/>
      </w:r>
      <w:r w:rsidRPr="00AB1ECB">
        <w:rPr>
          <w:color w:val="4C4C4C" w:themeColor="text2"/>
          <w:sz w:val="16"/>
          <w:szCs w:val="16"/>
        </w:rPr>
        <w:t xml:space="preserve"> “Legislative Energy Commission Meetings (2015-2016),” Legislative Energy Commission, 2016, </w:t>
      </w:r>
      <w:r w:rsidRPr="00AB1ECB">
        <w:rPr>
          <w:rFonts w:cs="Lucida Grande"/>
          <w:color w:val="4C4C4C" w:themeColor="text2"/>
          <w:sz w:val="16"/>
          <w:szCs w:val="16"/>
        </w:rPr>
        <w:t>http://www.lec.leg.mn/meetings201516.html</w:t>
      </w:r>
    </w:p>
  </w:endnote>
  <w:endnote w:id="136">
    <w:p w14:paraId="5156D8B8" w14:textId="77777777" w:rsidR="006506BB" w:rsidRPr="00AB1ECB" w:rsidRDefault="006506BB" w:rsidP="00663C1D">
      <w:pPr>
        <w:pStyle w:val="EndnoteText"/>
        <w:rPr>
          <w:color w:val="4C4C4C" w:themeColor="text2"/>
          <w:sz w:val="16"/>
          <w:szCs w:val="16"/>
          <w:highlight w:val="yellow"/>
        </w:rPr>
      </w:pPr>
      <w:r w:rsidRPr="00AB1ECB">
        <w:rPr>
          <w:rStyle w:val="EndnoteReference"/>
          <w:color w:val="4C4C4C" w:themeColor="text2"/>
          <w:sz w:val="16"/>
          <w:szCs w:val="16"/>
        </w:rPr>
        <w:endnoteRef/>
      </w:r>
      <w:r w:rsidRPr="00AB1ECB">
        <w:rPr>
          <w:color w:val="4C4C4C" w:themeColor="text2"/>
          <w:sz w:val="16"/>
          <w:szCs w:val="16"/>
        </w:rPr>
        <w:t xml:space="preserve">  Michael T. Burr, Michael J. Zimmer, Brian </w:t>
      </w:r>
      <w:proofErr w:type="spellStart"/>
      <w:r w:rsidRPr="00AB1ECB">
        <w:rPr>
          <w:color w:val="4C4C4C" w:themeColor="text2"/>
          <w:sz w:val="16"/>
          <w:szCs w:val="16"/>
        </w:rPr>
        <w:t>Meloy</w:t>
      </w:r>
      <w:proofErr w:type="spellEnd"/>
      <w:r w:rsidRPr="00AB1ECB">
        <w:rPr>
          <w:color w:val="4C4C4C" w:themeColor="text2"/>
          <w:sz w:val="16"/>
          <w:szCs w:val="16"/>
        </w:rPr>
        <w:t xml:space="preserve">, James Bertrand, Walter Levesque, Guy Warner, John D. McDonald, “Minnesota </w:t>
      </w:r>
      <w:proofErr w:type="spellStart"/>
      <w:r w:rsidRPr="00AB1ECB">
        <w:rPr>
          <w:color w:val="4C4C4C" w:themeColor="text2"/>
          <w:sz w:val="16"/>
          <w:szCs w:val="16"/>
        </w:rPr>
        <w:t>Microgrids</w:t>
      </w:r>
      <w:proofErr w:type="spellEnd"/>
      <w:r w:rsidRPr="00AB1ECB">
        <w:rPr>
          <w:color w:val="4C4C4C" w:themeColor="text2"/>
          <w:sz w:val="16"/>
          <w:szCs w:val="16"/>
        </w:rPr>
        <w:t xml:space="preserve">: Barriers, Opportunities, and Pathways Toward Energy Assurance,” prepared by the </w:t>
      </w:r>
      <w:proofErr w:type="spellStart"/>
      <w:r w:rsidRPr="00AB1ECB">
        <w:rPr>
          <w:color w:val="4C4C4C" w:themeColor="text2"/>
          <w:sz w:val="16"/>
          <w:szCs w:val="16"/>
        </w:rPr>
        <w:t>Microgrid</w:t>
      </w:r>
      <w:proofErr w:type="spellEnd"/>
      <w:r w:rsidRPr="00AB1ECB">
        <w:rPr>
          <w:color w:val="4C4C4C" w:themeColor="text2"/>
          <w:sz w:val="16"/>
          <w:szCs w:val="16"/>
        </w:rPr>
        <w:t xml:space="preserve"> Institute for the Minnesota Department of Commerce, September 30, 2013, </w:t>
      </w:r>
      <w:r w:rsidRPr="00AB1ECB">
        <w:rPr>
          <w:rFonts w:cs="Lucida Grande"/>
          <w:color w:val="4C4C4C" w:themeColor="text2"/>
          <w:sz w:val="16"/>
          <w:szCs w:val="16"/>
        </w:rPr>
        <w:t>http://mn.gov/commerce-stat/pdfs/CHP pdfs/MN-Microgrid-WP-FINAL-amended.pdf</w:t>
      </w:r>
    </w:p>
  </w:endnote>
  <w:endnote w:id="137">
    <w:p w14:paraId="0BC4FB64" w14:textId="41211E9B" w:rsidR="006506BB" w:rsidRPr="00AB1ECB" w:rsidRDefault="006506BB" w:rsidP="00663C1D">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w:t>
      </w:r>
      <w:r>
        <w:rPr>
          <w:color w:val="4C4C4C" w:themeColor="text2"/>
          <w:sz w:val="16"/>
          <w:szCs w:val="16"/>
        </w:rPr>
        <w:t>Wind to Battery Project</w:t>
      </w:r>
      <w:r w:rsidRPr="00AB1ECB">
        <w:rPr>
          <w:color w:val="4C4C4C" w:themeColor="text2"/>
          <w:sz w:val="16"/>
          <w:szCs w:val="16"/>
        </w:rPr>
        <w:t>,” Xcel Energy, 20</w:t>
      </w:r>
      <w:r>
        <w:rPr>
          <w:color w:val="4C4C4C" w:themeColor="text2"/>
          <w:sz w:val="16"/>
          <w:szCs w:val="16"/>
        </w:rPr>
        <w:t>08</w:t>
      </w:r>
      <w:r w:rsidRPr="00AB1ECB">
        <w:rPr>
          <w:color w:val="4C4C4C" w:themeColor="text2"/>
          <w:sz w:val="16"/>
          <w:szCs w:val="16"/>
        </w:rPr>
        <w:t xml:space="preserve">, </w:t>
      </w:r>
      <w:r w:rsidRPr="00355B27">
        <w:rPr>
          <w:rFonts w:cs="Lucida Grande"/>
          <w:color w:val="4C4C4C" w:themeColor="text2"/>
          <w:sz w:val="16"/>
          <w:szCs w:val="16"/>
        </w:rPr>
        <w:t>https://www.xcelenergy.com/staticfiles/xe/Corporate/Environment/wind-to-battery%20fact%20sheet.pdf</w:t>
      </w:r>
    </w:p>
  </w:endnote>
  <w:endnote w:id="138">
    <w:p w14:paraId="1EECD810" w14:textId="77777777" w:rsidR="006506BB" w:rsidRPr="00AB1ECB" w:rsidRDefault="006506BB" w:rsidP="00663C1D">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“Economic Geology Group Publication List: Energy related projects,” </w:t>
      </w:r>
      <w:proofErr w:type="spellStart"/>
      <w:r w:rsidRPr="00AB1ECB">
        <w:rPr>
          <w:color w:val="4C4C4C" w:themeColor="text2"/>
          <w:sz w:val="16"/>
          <w:szCs w:val="16"/>
        </w:rPr>
        <w:t>Ntural</w:t>
      </w:r>
      <w:proofErr w:type="spellEnd"/>
      <w:r w:rsidRPr="00AB1ECB">
        <w:rPr>
          <w:color w:val="4C4C4C" w:themeColor="text2"/>
          <w:sz w:val="16"/>
          <w:szCs w:val="16"/>
        </w:rPr>
        <w:t xml:space="preserve"> Resources Research Institute, University of Minnesota Duluth, 2016, http://www.nrri.umn.edu/egg/pubs_energy.html</w:t>
      </w:r>
    </w:p>
  </w:endnote>
  <w:endnote w:id="139">
    <w:p w14:paraId="7F29A225" w14:textId="77777777" w:rsidR="006506BB" w:rsidRPr="00AB1ECB" w:rsidRDefault="006506BB" w:rsidP="00663C1D">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“Honeywell WeatherBug Home Enrollment,” WeatherBug Home, 2016, </w:t>
      </w:r>
      <w:hyperlink r:id="rId100" w:history="1">
        <w:r w:rsidRPr="00AB1ECB">
          <w:rPr>
            <w:rStyle w:val="Hyperlink"/>
            <w:color w:val="4C4C4C" w:themeColor="text2"/>
            <w:sz w:val="16"/>
            <w:szCs w:val="16"/>
          </w:rPr>
          <w:t>https://weatherbughome.com/honeywell/</w:t>
        </w:r>
      </w:hyperlink>
      <w:r w:rsidRPr="00AB1ECB">
        <w:rPr>
          <w:color w:val="4C4C4C" w:themeColor="text2"/>
          <w:sz w:val="16"/>
          <w:szCs w:val="16"/>
        </w:rPr>
        <w:t xml:space="preserve">. </w:t>
      </w:r>
    </w:p>
  </w:endnote>
  <w:endnote w:id="140">
    <w:p w14:paraId="5EDC5E45" w14:textId="77777777" w:rsidR="006506BB" w:rsidRPr="00AB1ECB" w:rsidRDefault="006506BB" w:rsidP="00317E43">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w:t>
      </w:r>
      <w:r w:rsidRPr="00AB1ECB">
        <w:rPr>
          <w:rFonts w:cs="Lucida Grande"/>
          <w:color w:val="4C4C4C" w:themeColor="text2"/>
          <w:sz w:val="16"/>
          <w:szCs w:val="16"/>
        </w:rPr>
        <w:t xml:space="preserve">https://www.misoenergy.org/Library/Repository/Meeting Material/Stakeholder/MSC/2016/20160105/20160105 MSC Item 06 Energy Storage Workshop.pdf </w:t>
      </w:r>
    </w:p>
  </w:endnote>
  <w:endnote w:id="141">
    <w:p w14:paraId="41679DBF" w14:textId="3085564F" w:rsidR="006506BB" w:rsidRPr="00AB1ECB" w:rsidRDefault="006506BB">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Mark Dyson and Ian Kelly, “US Supreme Court Upholds FERC Order 745 In Favor Of Demand Response,” </w:t>
      </w:r>
      <w:proofErr w:type="spellStart"/>
      <w:r w:rsidRPr="00AB1ECB">
        <w:rPr>
          <w:color w:val="4C4C4C" w:themeColor="text2"/>
          <w:sz w:val="16"/>
          <w:szCs w:val="16"/>
        </w:rPr>
        <w:t>Cleantechnica</w:t>
      </w:r>
      <w:proofErr w:type="spellEnd"/>
      <w:r w:rsidRPr="00AB1ECB">
        <w:rPr>
          <w:color w:val="4C4C4C" w:themeColor="text2"/>
          <w:sz w:val="16"/>
          <w:szCs w:val="16"/>
        </w:rPr>
        <w:t xml:space="preserve">, 2016, </w:t>
      </w:r>
      <w:hyperlink r:id="rId101" w:history="1">
        <w:r w:rsidRPr="00AB1ECB">
          <w:rPr>
            <w:rStyle w:val="Hyperlink"/>
            <w:color w:val="4C4C4C" w:themeColor="text2"/>
            <w:sz w:val="16"/>
            <w:szCs w:val="16"/>
          </w:rPr>
          <w:t>http://cleantechnica.com/2016/02/01/us-supreme-court-upholds-ferc-order-745-in-favor-of-demand-response/</w:t>
        </w:r>
      </w:hyperlink>
      <w:r w:rsidRPr="00AB1ECB">
        <w:rPr>
          <w:color w:val="4C4C4C" w:themeColor="text2"/>
          <w:sz w:val="16"/>
          <w:szCs w:val="16"/>
        </w:rPr>
        <w:t xml:space="preserve"> </w:t>
      </w:r>
    </w:p>
  </w:endnote>
  <w:endnote w:id="142">
    <w:p w14:paraId="47196837" w14:textId="77777777" w:rsidR="006506BB" w:rsidRPr="00AB1ECB" w:rsidRDefault="006506BB" w:rsidP="00317E43">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Garrett Fitzgerald, James Mandel, Jesse Morris, </w:t>
      </w:r>
      <w:proofErr w:type="spellStart"/>
      <w:r w:rsidRPr="00AB1ECB">
        <w:rPr>
          <w:color w:val="4C4C4C" w:themeColor="text2"/>
          <w:sz w:val="16"/>
          <w:szCs w:val="16"/>
        </w:rPr>
        <w:t>Herve</w:t>
      </w:r>
      <w:proofErr w:type="spellEnd"/>
      <w:r w:rsidRPr="00AB1ECB">
        <w:rPr>
          <w:color w:val="4C4C4C" w:themeColor="text2"/>
          <w:sz w:val="16"/>
          <w:szCs w:val="16"/>
        </w:rPr>
        <w:t xml:space="preserve"> </w:t>
      </w:r>
      <w:proofErr w:type="spellStart"/>
      <w:r w:rsidRPr="00AB1ECB">
        <w:rPr>
          <w:color w:val="4C4C4C" w:themeColor="text2"/>
          <w:sz w:val="16"/>
          <w:szCs w:val="16"/>
        </w:rPr>
        <w:t>Touati</w:t>
      </w:r>
      <w:proofErr w:type="spellEnd"/>
      <w:r w:rsidRPr="00AB1ECB">
        <w:rPr>
          <w:color w:val="4C4C4C" w:themeColor="text2"/>
          <w:sz w:val="16"/>
          <w:szCs w:val="16"/>
        </w:rPr>
        <w:t>, “The Economics of Battery Energy Storage: How Multi-Use, Customer-Sited Batteries Deliver the Most Services and Value to Customers and the Grid,” Rocky Mountain Institute, October 2015, http://www.rmi.org/Content/Files/RMI-TheEconomicsOfBatteryEnergyStorage-FullReport-FINAL.pdf</w:t>
      </w:r>
    </w:p>
  </w:endnote>
  <w:endnote w:id="143">
    <w:p w14:paraId="05358E73" w14:textId="4DE26963" w:rsidR="006506BB" w:rsidRPr="00AB1ECB" w:rsidRDefault="006506BB" w:rsidP="0035355A">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Ahmad </w:t>
      </w:r>
      <w:proofErr w:type="spellStart"/>
      <w:r w:rsidRPr="00AB1ECB">
        <w:rPr>
          <w:color w:val="4C4C4C" w:themeColor="text2"/>
          <w:sz w:val="16"/>
          <w:szCs w:val="16"/>
        </w:rPr>
        <w:t>Faruqui</w:t>
      </w:r>
      <w:proofErr w:type="spellEnd"/>
      <w:r w:rsidRPr="00AB1ECB">
        <w:rPr>
          <w:color w:val="4C4C4C" w:themeColor="text2"/>
          <w:sz w:val="16"/>
          <w:szCs w:val="16"/>
        </w:rPr>
        <w:t xml:space="preserve">, Ryan </w:t>
      </w:r>
      <w:proofErr w:type="spellStart"/>
      <w:r w:rsidRPr="00AB1ECB">
        <w:rPr>
          <w:color w:val="4C4C4C" w:themeColor="text2"/>
          <w:sz w:val="16"/>
          <w:szCs w:val="16"/>
        </w:rPr>
        <w:t>Hledik</w:t>
      </w:r>
      <w:proofErr w:type="spellEnd"/>
      <w:r w:rsidRPr="00AB1ECB">
        <w:rPr>
          <w:color w:val="4C4C4C" w:themeColor="text2"/>
          <w:sz w:val="16"/>
          <w:szCs w:val="16"/>
        </w:rPr>
        <w:t xml:space="preserve">, Sam Newell, and Johannes </w:t>
      </w:r>
      <w:proofErr w:type="spellStart"/>
      <w:r w:rsidRPr="00AB1ECB">
        <w:rPr>
          <w:color w:val="4C4C4C" w:themeColor="text2"/>
          <w:sz w:val="16"/>
          <w:szCs w:val="16"/>
        </w:rPr>
        <w:t>Pfeifenberger</w:t>
      </w:r>
      <w:proofErr w:type="spellEnd"/>
      <w:r w:rsidRPr="00AB1ECB">
        <w:rPr>
          <w:color w:val="4C4C4C" w:themeColor="text2"/>
          <w:sz w:val="16"/>
          <w:szCs w:val="16"/>
        </w:rPr>
        <w:t xml:space="preserve">, “The Power of Five Percent: How Dynamic Pricing Can Save $35 Billion in Electricity Costs,” The Brattle Group, May 16, 2007, </w:t>
      </w:r>
      <w:hyperlink r:id="rId102">
        <w:r w:rsidRPr="00AB1ECB">
          <w:rPr>
            <w:color w:val="4C4C4C" w:themeColor="text2"/>
            <w:sz w:val="16"/>
            <w:szCs w:val="16"/>
            <w:u w:val="single"/>
          </w:rPr>
          <w:t>http://sites.energetics.com/madri/pdfs/ArticleReport2441.pdf</w:t>
        </w:r>
      </w:hyperlink>
      <w:r w:rsidRPr="00AB1ECB">
        <w:rPr>
          <w:color w:val="4C4C4C" w:themeColor="text2"/>
          <w:sz w:val="16"/>
          <w:szCs w:val="16"/>
          <w:u w:val="single"/>
        </w:rPr>
        <w:t xml:space="preserve">. </w:t>
      </w:r>
      <w:r w:rsidRPr="00AB1ECB">
        <w:rPr>
          <w:color w:val="4C4C4C" w:themeColor="text2"/>
          <w:sz w:val="16"/>
          <w:szCs w:val="16"/>
        </w:rPr>
        <w:t xml:space="preserve"> </w:t>
      </w:r>
    </w:p>
  </w:endnote>
  <w:endnote w:id="144">
    <w:p w14:paraId="72A67344" w14:textId="04F0D58B" w:rsidR="006506BB" w:rsidRPr="00AB1ECB" w:rsidRDefault="006506BB" w:rsidP="0035355A">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“Electric power sales, revenue, and energy efficiency form EIA-861 detailed data files,” U.S. Energy Information Administration, October 21, 2015, https://www.eia.gov/electricity/data/eia861/.</w:t>
      </w:r>
    </w:p>
  </w:endnote>
  <w:endnote w:id="145">
    <w:p w14:paraId="5D62B73D" w14:textId="703A8F35" w:rsidR="006506BB" w:rsidRPr="00AB1ECB" w:rsidRDefault="006506BB" w:rsidP="00A7299A">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Robert Walton, “How </w:t>
      </w:r>
      <w:proofErr w:type="spellStart"/>
      <w:r w:rsidRPr="00AB1ECB">
        <w:rPr>
          <w:color w:val="4C4C4C" w:themeColor="text2"/>
          <w:sz w:val="16"/>
          <w:szCs w:val="16"/>
        </w:rPr>
        <w:t>Opower</w:t>
      </w:r>
      <w:proofErr w:type="spellEnd"/>
      <w:r w:rsidRPr="00AB1ECB">
        <w:rPr>
          <w:color w:val="4C4C4C" w:themeColor="text2"/>
          <w:sz w:val="16"/>
          <w:szCs w:val="16"/>
        </w:rPr>
        <w:t xml:space="preserve"> is pushing behavioral demand response into the mainstream,” Utility Dive, May 27, 2015, </w:t>
      </w:r>
      <w:hyperlink r:id="rId103" w:history="1">
        <w:r w:rsidRPr="00AB1ECB">
          <w:rPr>
            <w:rStyle w:val="Hyperlink"/>
            <w:color w:val="4C4C4C" w:themeColor="text2"/>
            <w:sz w:val="16"/>
            <w:szCs w:val="16"/>
          </w:rPr>
          <w:t>http://www.utilitydive.com/news/how-opower-is-pushing-behavioral-demand-response-into-the-mainstream/399790/</w:t>
        </w:r>
      </w:hyperlink>
      <w:r w:rsidRPr="00AB1ECB">
        <w:rPr>
          <w:color w:val="4C4C4C" w:themeColor="text2"/>
          <w:sz w:val="16"/>
          <w:szCs w:val="16"/>
        </w:rPr>
        <w:t>.</w:t>
      </w:r>
    </w:p>
  </w:endnote>
  <w:endnote w:id="146">
    <w:p w14:paraId="2F1C8AE9" w14:textId="77777777" w:rsidR="006506BB" w:rsidRPr="00AB1ECB" w:rsidRDefault="006506BB" w:rsidP="00A7299A">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http://www.brattle.com/system/publications/pdfs/000/005/183/original/A_global_perspective_on_time-varying_rates_Faruqui_061915.pdf?1436207012</w:t>
      </w:r>
    </w:p>
  </w:endnote>
  <w:endnote w:id="147">
    <w:p w14:paraId="26FBFFF6" w14:textId="77777777" w:rsidR="006506BB" w:rsidRPr="00AB1ECB" w:rsidRDefault="006506BB" w:rsidP="00137661">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“Electric power sales, revenue, and energy efficiency form EIA-861 detailed data files,” U.S. Energy Information Administration, October 21, 2015, https://www.eia.gov/electricity/data/eia861/.</w:t>
      </w:r>
    </w:p>
  </w:endnote>
  <w:endnote w:id="148">
    <w:p w14:paraId="1D931957" w14:textId="77777777" w:rsidR="006506BB" w:rsidRPr="00AB1ECB" w:rsidRDefault="006506BB" w:rsidP="00137661">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Megan </w:t>
      </w:r>
      <w:proofErr w:type="spellStart"/>
      <w:r w:rsidRPr="00AB1ECB">
        <w:rPr>
          <w:color w:val="4C4C4C" w:themeColor="text2"/>
          <w:sz w:val="16"/>
          <w:szCs w:val="16"/>
        </w:rPr>
        <w:t>Hoye</w:t>
      </w:r>
      <w:proofErr w:type="spellEnd"/>
      <w:r w:rsidRPr="00AB1ECB">
        <w:rPr>
          <w:color w:val="4C4C4C" w:themeColor="text2"/>
          <w:sz w:val="16"/>
          <w:szCs w:val="16"/>
        </w:rPr>
        <w:t xml:space="preserve">, “Customer Choice in the Form of Energy Price Signals,” Center for Energy and Environment, February 9, 2015, </w:t>
      </w:r>
      <w:hyperlink r:id="rId104" w:history="1">
        <w:r w:rsidRPr="00AB1ECB">
          <w:rPr>
            <w:rStyle w:val="Hyperlink"/>
            <w:color w:val="4C4C4C" w:themeColor="text2"/>
            <w:sz w:val="16"/>
            <w:szCs w:val="16"/>
          </w:rPr>
          <w:t>http://mncee.org/Innovation-Exchange/ie/February/Customer-Choice-in-the-Form-of-Energy-Price-Signal/</w:t>
        </w:r>
      </w:hyperlink>
      <w:r w:rsidRPr="00AB1ECB">
        <w:rPr>
          <w:color w:val="4C4C4C" w:themeColor="text2"/>
          <w:sz w:val="16"/>
          <w:szCs w:val="16"/>
        </w:rPr>
        <w:t xml:space="preserve">. </w:t>
      </w:r>
    </w:p>
  </w:endnote>
  <w:endnote w:id="149">
    <w:p w14:paraId="2F3FEB1C" w14:textId="77777777" w:rsidR="006506BB" w:rsidRPr="00AB1ECB" w:rsidRDefault="006506BB" w:rsidP="00137661">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Susan L. Pierce, “RE: Report on Alternative Rate Design Options, Docket No. E002/M-15-662,” Minnesota Department of Commerce, November 10, 2015, http://legalectric.org/f/2015/12/Commerce_Recap_Meetings_201511-115618-01.pdf</w:t>
      </w:r>
    </w:p>
  </w:endnote>
  <w:endnote w:id="150">
    <w:p w14:paraId="422B561B" w14:textId="77777777" w:rsidR="006506BB" w:rsidRPr="00AB1ECB" w:rsidRDefault="006506BB" w:rsidP="00137661">
      <w:pPr>
        <w:pStyle w:val="EndnoteText"/>
        <w:rPr>
          <w:color w:val="4C4C4C" w:themeColor="text2"/>
          <w:sz w:val="16"/>
          <w:szCs w:val="16"/>
          <w:highlight w:val="yellow"/>
        </w:rPr>
      </w:pPr>
      <w:r w:rsidRPr="00AB1ECB">
        <w:rPr>
          <w:rStyle w:val="EndnoteReference"/>
          <w:color w:val="4C4C4C" w:themeColor="text2"/>
          <w:sz w:val="16"/>
          <w:szCs w:val="16"/>
        </w:rPr>
        <w:endnoteRef/>
      </w:r>
      <w:r w:rsidRPr="00AB1ECB">
        <w:rPr>
          <w:color w:val="4C4C4C" w:themeColor="text2"/>
          <w:sz w:val="16"/>
          <w:szCs w:val="16"/>
        </w:rPr>
        <w:t xml:space="preserve"> “e21 Initiative,” Great Plains Institute, 2013, </w:t>
      </w:r>
      <w:hyperlink r:id="rId105" w:history="1">
        <w:r w:rsidRPr="00AB1ECB">
          <w:rPr>
            <w:rStyle w:val="Hyperlink"/>
            <w:color w:val="4C4C4C" w:themeColor="text2"/>
            <w:sz w:val="16"/>
            <w:szCs w:val="16"/>
          </w:rPr>
          <w:t>http://www.betterenergy.org/projects/e21-initiative</w:t>
        </w:r>
      </w:hyperlink>
      <w:r w:rsidRPr="00AB1ECB">
        <w:rPr>
          <w:color w:val="4C4C4C" w:themeColor="text2"/>
          <w:sz w:val="16"/>
          <w:szCs w:val="16"/>
        </w:rPr>
        <w:t>.</w:t>
      </w:r>
    </w:p>
  </w:endnote>
  <w:endnote w:id="151">
    <w:p w14:paraId="139327D9" w14:textId="77777777" w:rsidR="006506BB" w:rsidRPr="00AB1ECB" w:rsidRDefault="006506BB" w:rsidP="00137661">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“e21 Initiative Phase 1 Report: Charting a Path to a 21</w:t>
      </w:r>
      <w:r w:rsidRPr="00AB1ECB">
        <w:rPr>
          <w:color w:val="4C4C4C" w:themeColor="text2"/>
          <w:sz w:val="16"/>
          <w:szCs w:val="16"/>
          <w:vertAlign w:val="superscript"/>
        </w:rPr>
        <w:t>st</w:t>
      </w:r>
      <w:r w:rsidRPr="00AB1ECB">
        <w:rPr>
          <w:color w:val="4C4C4C" w:themeColor="text2"/>
          <w:sz w:val="16"/>
          <w:szCs w:val="16"/>
        </w:rPr>
        <w:t xml:space="preserve"> Century Energy System in </w:t>
      </w:r>
      <w:proofErr w:type="spellStart"/>
      <w:r w:rsidRPr="00AB1ECB">
        <w:rPr>
          <w:color w:val="4C4C4C" w:themeColor="text2"/>
          <w:sz w:val="16"/>
          <w:szCs w:val="16"/>
        </w:rPr>
        <w:t>Minnseota</w:t>
      </w:r>
      <w:proofErr w:type="spellEnd"/>
      <w:r w:rsidRPr="00AB1ECB">
        <w:rPr>
          <w:color w:val="4C4C4C" w:themeColor="text2"/>
          <w:sz w:val="16"/>
          <w:szCs w:val="16"/>
        </w:rPr>
        <w:t xml:space="preserve">,” December 2014, </w:t>
      </w:r>
      <w:hyperlink r:id="rId106" w:history="1">
        <w:r w:rsidRPr="00AB1ECB">
          <w:rPr>
            <w:rStyle w:val="Hyperlink"/>
            <w:color w:val="4C4C4C" w:themeColor="text2"/>
            <w:sz w:val="16"/>
            <w:szCs w:val="16"/>
          </w:rPr>
          <w:t>http://www.betterenergy.org/e21-Phase1-Report</w:t>
        </w:r>
      </w:hyperlink>
      <w:r w:rsidRPr="00AB1ECB">
        <w:rPr>
          <w:color w:val="4C4C4C" w:themeColor="text2"/>
          <w:sz w:val="16"/>
          <w:szCs w:val="16"/>
        </w:rPr>
        <w:t xml:space="preserve"> </w:t>
      </w:r>
    </w:p>
  </w:endnote>
  <w:endnote w:id="152">
    <w:p w14:paraId="4BEE4216" w14:textId="77777777" w:rsidR="006506BB" w:rsidRPr="00AB1ECB" w:rsidRDefault="006506BB" w:rsidP="00137661">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Megan </w:t>
      </w:r>
      <w:proofErr w:type="spellStart"/>
      <w:r w:rsidRPr="00AB1ECB">
        <w:rPr>
          <w:color w:val="4C4C4C" w:themeColor="text2"/>
          <w:sz w:val="16"/>
          <w:szCs w:val="16"/>
        </w:rPr>
        <w:t>Hoye</w:t>
      </w:r>
      <w:proofErr w:type="spellEnd"/>
      <w:r w:rsidRPr="00AB1ECB">
        <w:rPr>
          <w:color w:val="4C4C4C" w:themeColor="text2"/>
          <w:sz w:val="16"/>
          <w:szCs w:val="16"/>
        </w:rPr>
        <w:t>, “Customer Choice in the Form of Energy Price Signals,” Center for Energy and Environment, February 9, 2015,  http://mncee.org/Innovation-Exchange/ie/February/Customer-Choice-in-the-Form-of-Energy-Price-Signal/</w:t>
      </w:r>
    </w:p>
  </w:endnote>
  <w:endnote w:id="153">
    <w:p w14:paraId="2457CF6E" w14:textId="77777777" w:rsidR="006506BB" w:rsidRPr="00AB1ECB" w:rsidRDefault="006506BB" w:rsidP="00137661">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Ahmad </w:t>
      </w:r>
      <w:proofErr w:type="spellStart"/>
      <w:r w:rsidRPr="00AB1ECB">
        <w:rPr>
          <w:color w:val="4C4C4C" w:themeColor="text2"/>
          <w:sz w:val="16"/>
          <w:szCs w:val="16"/>
        </w:rPr>
        <w:t>Faruqui</w:t>
      </w:r>
      <w:proofErr w:type="spellEnd"/>
      <w:r w:rsidRPr="00AB1ECB">
        <w:rPr>
          <w:color w:val="4C4C4C" w:themeColor="text2"/>
          <w:sz w:val="16"/>
          <w:szCs w:val="16"/>
        </w:rPr>
        <w:t xml:space="preserve">, Ryan </w:t>
      </w:r>
      <w:proofErr w:type="spellStart"/>
      <w:r w:rsidRPr="00AB1ECB">
        <w:rPr>
          <w:color w:val="4C4C4C" w:themeColor="text2"/>
          <w:sz w:val="16"/>
          <w:szCs w:val="16"/>
        </w:rPr>
        <w:t>Hledik</w:t>
      </w:r>
      <w:proofErr w:type="spellEnd"/>
      <w:r w:rsidRPr="00AB1ECB">
        <w:rPr>
          <w:color w:val="4C4C4C" w:themeColor="text2"/>
          <w:sz w:val="16"/>
          <w:szCs w:val="16"/>
        </w:rPr>
        <w:t xml:space="preserve">, Sam Newell, and Johannes </w:t>
      </w:r>
      <w:proofErr w:type="spellStart"/>
      <w:r w:rsidRPr="00AB1ECB">
        <w:rPr>
          <w:color w:val="4C4C4C" w:themeColor="text2"/>
          <w:sz w:val="16"/>
          <w:szCs w:val="16"/>
        </w:rPr>
        <w:t>Pfeifenberger</w:t>
      </w:r>
      <w:proofErr w:type="spellEnd"/>
      <w:r w:rsidRPr="00AB1ECB">
        <w:rPr>
          <w:color w:val="4C4C4C" w:themeColor="text2"/>
          <w:sz w:val="16"/>
          <w:szCs w:val="16"/>
        </w:rPr>
        <w:t xml:space="preserve">, “The Power of Five Percent: How Dynamic Pricing Can Save $35 Billion in Electricity Costs,” The Brattle Group, May 16, 2007, </w:t>
      </w:r>
      <w:hyperlink r:id="rId107">
        <w:r w:rsidRPr="00AB1ECB">
          <w:rPr>
            <w:color w:val="4C4C4C" w:themeColor="text2"/>
            <w:sz w:val="16"/>
            <w:szCs w:val="16"/>
            <w:u w:val="single"/>
          </w:rPr>
          <w:t>http://sites.energetics.com/madri/pdfs/ArticleReport2441.pdf</w:t>
        </w:r>
      </w:hyperlink>
      <w:r w:rsidRPr="00AB1ECB">
        <w:rPr>
          <w:color w:val="4C4C4C" w:themeColor="text2"/>
          <w:sz w:val="16"/>
          <w:szCs w:val="16"/>
          <w:u w:val="single"/>
        </w:rPr>
        <w:t xml:space="preserve">. </w:t>
      </w:r>
      <w:r w:rsidRPr="00AB1ECB">
        <w:rPr>
          <w:color w:val="4C4C4C" w:themeColor="text2"/>
          <w:sz w:val="16"/>
          <w:szCs w:val="16"/>
        </w:rPr>
        <w:t xml:space="preserve"> </w:t>
      </w:r>
    </w:p>
  </w:endnote>
  <w:endnote w:id="154">
    <w:p w14:paraId="57BD795D" w14:textId="77777777" w:rsidR="006506BB" w:rsidRPr="00AB1ECB" w:rsidRDefault="006506BB" w:rsidP="00137661">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Ahmad </w:t>
      </w:r>
      <w:proofErr w:type="spellStart"/>
      <w:r w:rsidRPr="00AB1ECB">
        <w:rPr>
          <w:color w:val="4C4C4C" w:themeColor="text2"/>
          <w:sz w:val="16"/>
          <w:szCs w:val="16"/>
        </w:rPr>
        <w:t>Faruqui</w:t>
      </w:r>
      <w:proofErr w:type="spellEnd"/>
      <w:r w:rsidRPr="00AB1ECB">
        <w:rPr>
          <w:color w:val="4C4C4C" w:themeColor="text2"/>
          <w:sz w:val="16"/>
          <w:szCs w:val="16"/>
        </w:rPr>
        <w:t xml:space="preserve"> and </w:t>
      </w:r>
      <w:proofErr w:type="spellStart"/>
      <w:r w:rsidRPr="00AB1ECB">
        <w:rPr>
          <w:color w:val="4C4C4C" w:themeColor="text2"/>
          <w:sz w:val="16"/>
          <w:szCs w:val="16"/>
        </w:rPr>
        <w:t>Sanem</w:t>
      </w:r>
      <w:proofErr w:type="spellEnd"/>
      <w:r w:rsidRPr="00AB1ECB">
        <w:rPr>
          <w:color w:val="4C4C4C" w:themeColor="text2"/>
          <w:sz w:val="16"/>
          <w:szCs w:val="16"/>
        </w:rPr>
        <w:t xml:space="preserve"> </w:t>
      </w:r>
      <w:proofErr w:type="spellStart"/>
      <w:r w:rsidRPr="00AB1ECB">
        <w:rPr>
          <w:color w:val="4C4C4C" w:themeColor="text2"/>
          <w:sz w:val="16"/>
          <w:szCs w:val="16"/>
        </w:rPr>
        <w:t>Sergici</w:t>
      </w:r>
      <w:proofErr w:type="spellEnd"/>
      <w:r w:rsidRPr="00AB1ECB">
        <w:rPr>
          <w:color w:val="4C4C4C" w:themeColor="text2"/>
          <w:sz w:val="16"/>
          <w:szCs w:val="16"/>
        </w:rPr>
        <w:t>, “</w:t>
      </w:r>
      <w:r w:rsidRPr="00AB1ECB">
        <w:rPr>
          <w:i/>
          <w:color w:val="4C4C4C" w:themeColor="text2"/>
          <w:sz w:val="16"/>
          <w:szCs w:val="16"/>
        </w:rPr>
        <w:t xml:space="preserve">Arcturus: </w:t>
      </w:r>
      <w:r w:rsidRPr="00AB1ECB">
        <w:rPr>
          <w:color w:val="4C4C4C" w:themeColor="text2"/>
          <w:sz w:val="16"/>
          <w:szCs w:val="16"/>
        </w:rPr>
        <w:t xml:space="preserve">International Evidence on Dynamic Pricing,” Social Science Research Network, July 2, 2013, </w:t>
      </w:r>
      <w:hyperlink r:id="rId108" w:history="1">
        <w:r w:rsidRPr="00AB1ECB">
          <w:rPr>
            <w:rStyle w:val="Hyperlink"/>
            <w:color w:val="4C4C4C" w:themeColor="text2"/>
            <w:sz w:val="16"/>
            <w:szCs w:val="16"/>
          </w:rPr>
          <w:t>http://papers.ssrn.com/sol3/papers.cfm?abstract_id=2288116</w:t>
        </w:r>
      </w:hyperlink>
      <w:r w:rsidRPr="00AB1ECB">
        <w:rPr>
          <w:color w:val="4C4C4C" w:themeColor="text2"/>
          <w:sz w:val="16"/>
          <w:szCs w:val="16"/>
        </w:rPr>
        <w:t>.</w:t>
      </w:r>
    </w:p>
  </w:endnote>
  <w:endnote w:id="155">
    <w:p w14:paraId="7E3587E8" w14:textId="77777777" w:rsidR="006506BB" w:rsidRPr="00AB1ECB" w:rsidRDefault="006506BB" w:rsidP="00A64039">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“About Us,” Corporate Renewable Energy Buyers’ Principles, accessed March 22, 2016, </w:t>
      </w:r>
      <w:hyperlink r:id="rId109" w:history="1">
        <w:r w:rsidRPr="00AB1ECB">
          <w:rPr>
            <w:rStyle w:val="Hyperlink"/>
            <w:color w:val="4C4C4C" w:themeColor="text2"/>
            <w:sz w:val="16"/>
            <w:szCs w:val="16"/>
          </w:rPr>
          <w:t>http://buyersprinciples.org/about-us/</w:t>
        </w:r>
      </w:hyperlink>
      <w:r w:rsidRPr="00AB1ECB">
        <w:rPr>
          <w:color w:val="4C4C4C" w:themeColor="text2"/>
          <w:sz w:val="16"/>
          <w:szCs w:val="16"/>
        </w:rPr>
        <w:t xml:space="preserve">. </w:t>
      </w:r>
    </w:p>
  </w:endnote>
  <w:endnote w:id="156">
    <w:p w14:paraId="59446749" w14:textId="139BB52F" w:rsidR="006506BB" w:rsidRPr="00AB1ECB" w:rsidRDefault="006506BB" w:rsidP="00AB06E1">
      <w:pPr>
        <w:rPr>
          <w:color w:val="4C4C4C" w:themeColor="text2"/>
          <w:sz w:val="16"/>
          <w:szCs w:val="16"/>
        </w:rPr>
      </w:pPr>
      <w:r w:rsidRPr="00AB1ECB">
        <w:rPr>
          <w:color w:val="4C4C4C" w:themeColor="text2"/>
          <w:sz w:val="16"/>
          <w:szCs w:val="16"/>
          <w:vertAlign w:val="superscript"/>
        </w:rPr>
        <w:endnoteRef/>
      </w:r>
      <w:r w:rsidRPr="00AB1ECB">
        <w:rPr>
          <w:color w:val="4C4C4C" w:themeColor="text2"/>
          <w:sz w:val="16"/>
          <w:szCs w:val="16"/>
        </w:rPr>
        <w:t xml:space="preserve"> “Corporate Renewable Energy Buyers’ Principles: Increasing Access to Renewable Energy,” World Wildlife Fund and World Resources Institute, December 2015, </w:t>
      </w:r>
      <w:hyperlink r:id="rId110" w:history="1">
        <w:r w:rsidRPr="00AB1ECB">
          <w:rPr>
            <w:rStyle w:val="Hyperlink"/>
            <w:color w:val="4C4C4C" w:themeColor="text2"/>
            <w:sz w:val="16"/>
            <w:szCs w:val="16"/>
          </w:rPr>
          <w:t>http://www.wri.org/publication/corporate-renewable-energy-buyers-principles</w:t>
        </w:r>
      </w:hyperlink>
      <w:r w:rsidRPr="00AB1ECB">
        <w:rPr>
          <w:color w:val="4C4C4C" w:themeColor="text2"/>
          <w:sz w:val="16"/>
          <w:szCs w:val="16"/>
        </w:rPr>
        <w:t>.</w:t>
      </w:r>
    </w:p>
  </w:endnote>
  <w:endnote w:id="157">
    <w:p w14:paraId="17799452" w14:textId="77777777" w:rsidR="006506BB" w:rsidRPr="00AB1ECB" w:rsidRDefault="006506BB" w:rsidP="00A52E18">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“Buying Green Power,” The Green Power Network, U.S. Department of Energy, August 21, 2015, </w:t>
      </w:r>
      <w:hyperlink r:id="rId111" w:history="1">
        <w:r w:rsidRPr="00AB1ECB">
          <w:rPr>
            <w:rStyle w:val="Hyperlink"/>
            <w:color w:val="4C4C4C" w:themeColor="text2"/>
            <w:sz w:val="16"/>
            <w:szCs w:val="16"/>
          </w:rPr>
          <w:t>http://apps3.eere.energy.gov/greenpower/buying/buying_power.shtml?state=MN</w:t>
        </w:r>
      </w:hyperlink>
      <w:r w:rsidRPr="00AB1ECB">
        <w:rPr>
          <w:color w:val="4C4C4C" w:themeColor="text2"/>
          <w:sz w:val="16"/>
          <w:szCs w:val="16"/>
        </w:rPr>
        <w:t>.</w:t>
      </w:r>
    </w:p>
  </w:endnote>
  <w:endnote w:id="158">
    <w:p w14:paraId="2E3BB9A0" w14:textId="77777777" w:rsidR="006506BB" w:rsidRPr="00AB1ECB" w:rsidRDefault="006506BB" w:rsidP="00A52E18">
      <w:pPr>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“Xcel Energy proposes option that allows customers to get energy exclusively from wind and solar energy,” Xcel Energy, November 12, 2015 </w:t>
      </w:r>
      <w:hyperlink r:id="rId112" w:history="1">
        <w:r w:rsidRPr="00AB1ECB">
          <w:rPr>
            <w:rStyle w:val="Hyperlink"/>
            <w:color w:val="4C4C4C" w:themeColor="text2"/>
            <w:sz w:val="16"/>
            <w:szCs w:val="16"/>
          </w:rPr>
          <w:t>http://www.xcelenergy.com/Company/About_Xcel_Energy/Media_Room/News_Releases/Xcel_Energy_proposes_option_that_allows_customers_to_get_energy_exclusively_from_wind_and_solar_energy</w:t>
        </w:r>
      </w:hyperlink>
      <w:r w:rsidRPr="00AB1ECB">
        <w:rPr>
          <w:color w:val="4C4C4C" w:themeColor="text2"/>
          <w:sz w:val="16"/>
          <w:szCs w:val="16"/>
        </w:rPr>
        <w:t xml:space="preserve">. </w:t>
      </w:r>
    </w:p>
  </w:endnote>
  <w:endnote w:id="159">
    <w:p w14:paraId="444CEC91" w14:textId="77777777" w:rsidR="006506BB" w:rsidRPr="00AB1ECB" w:rsidRDefault="006506BB" w:rsidP="00A52E18">
      <w:pPr>
        <w:pStyle w:val="EndnoteText"/>
        <w:rPr>
          <w:color w:val="4C4C4C" w:themeColor="text2"/>
          <w:sz w:val="16"/>
          <w:szCs w:val="16"/>
          <w:highlight w:val="yellow"/>
        </w:rPr>
      </w:pPr>
      <w:r w:rsidRPr="00AB1ECB">
        <w:rPr>
          <w:rStyle w:val="EndnoteReference"/>
          <w:color w:val="4C4C4C" w:themeColor="text2"/>
          <w:sz w:val="16"/>
          <w:szCs w:val="16"/>
        </w:rPr>
        <w:endnoteRef/>
      </w:r>
      <w:r w:rsidRPr="00AB1ECB">
        <w:rPr>
          <w:color w:val="4C4C4C" w:themeColor="text2"/>
          <w:sz w:val="16"/>
          <w:szCs w:val="16"/>
        </w:rPr>
        <w:t xml:space="preserve"> “e21 Initiative Phase 1 Report: Charting a Path to a 21</w:t>
      </w:r>
      <w:r w:rsidRPr="00AB1ECB">
        <w:rPr>
          <w:color w:val="4C4C4C" w:themeColor="text2"/>
          <w:sz w:val="16"/>
          <w:szCs w:val="16"/>
          <w:vertAlign w:val="superscript"/>
        </w:rPr>
        <w:t>st</w:t>
      </w:r>
      <w:r w:rsidRPr="00AB1ECB">
        <w:rPr>
          <w:color w:val="4C4C4C" w:themeColor="text2"/>
          <w:sz w:val="16"/>
          <w:szCs w:val="16"/>
        </w:rPr>
        <w:t xml:space="preserve"> Century Energy System in </w:t>
      </w:r>
      <w:proofErr w:type="spellStart"/>
      <w:r w:rsidRPr="00AB1ECB">
        <w:rPr>
          <w:color w:val="4C4C4C" w:themeColor="text2"/>
          <w:sz w:val="16"/>
          <w:szCs w:val="16"/>
        </w:rPr>
        <w:t>Minnseota</w:t>
      </w:r>
      <w:proofErr w:type="spellEnd"/>
      <w:r w:rsidRPr="00AB1ECB">
        <w:rPr>
          <w:color w:val="4C4C4C" w:themeColor="text2"/>
          <w:sz w:val="16"/>
          <w:szCs w:val="16"/>
        </w:rPr>
        <w:t xml:space="preserve">,” December 2014, </w:t>
      </w:r>
      <w:hyperlink r:id="rId113" w:history="1">
        <w:r w:rsidRPr="00AB1ECB">
          <w:rPr>
            <w:rStyle w:val="Hyperlink"/>
            <w:color w:val="4C4C4C" w:themeColor="text2"/>
            <w:sz w:val="16"/>
            <w:szCs w:val="16"/>
          </w:rPr>
          <w:t>http://www.betterenergy.org/e21-Phase1-Report</w:t>
        </w:r>
      </w:hyperlink>
    </w:p>
  </w:endnote>
  <w:endnote w:id="160">
    <w:p w14:paraId="561C4E6A" w14:textId="77777777" w:rsidR="006506BB" w:rsidRPr="00AB1ECB" w:rsidRDefault="006506BB" w:rsidP="00A52E18">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“Webinar: Emerging Trends in Utility Green Power Products,” Minnesota Department of Commerce, Division of Energy Resources, October 28, 2015, </w:t>
      </w:r>
      <w:hyperlink r:id="rId114" w:history="1">
        <w:r w:rsidRPr="00AB1ECB">
          <w:rPr>
            <w:rStyle w:val="Hyperlink"/>
            <w:rFonts w:cs="Lucida Grande"/>
            <w:color w:val="4C4C4C" w:themeColor="text2"/>
            <w:sz w:val="16"/>
            <w:szCs w:val="16"/>
          </w:rPr>
          <w:t>http://www.lec.leg.mn/projects/2025/102815Video.wmv</w:t>
        </w:r>
      </w:hyperlink>
      <w:r w:rsidRPr="00AB1ECB">
        <w:rPr>
          <w:rFonts w:cs="Lucida Grande"/>
          <w:color w:val="4C4C4C" w:themeColor="text2"/>
          <w:sz w:val="16"/>
          <w:szCs w:val="16"/>
        </w:rPr>
        <w:t xml:space="preserve"> </w:t>
      </w:r>
    </w:p>
  </w:endnote>
  <w:endnote w:id="161">
    <w:p w14:paraId="16F92D40" w14:textId="77777777" w:rsidR="006506BB" w:rsidRPr="00AB1ECB" w:rsidRDefault="006506BB" w:rsidP="00A52E18">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“Emerging Trends in Utility Green Power Products,” Minnesota Department of Commerce, Division of Energy Resources, October 28, 2015, </w:t>
      </w:r>
      <w:hyperlink r:id="rId115" w:history="1">
        <w:r w:rsidRPr="00AB1ECB">
          <w:rPr>
            <w:rStyle w:val="Hyperlink"/>
            <w:rFonts w:cs="Lucida Grande"/>
            <w:color w:val="4C4C4C" w:themeColor="text2"/>
            <w:sz w:val="16"/>
            <w:szCs w:val="16"/>
          </w:rPr>
          <w:t>http://www.lec.leg.mn/projects/2025/102815WebinarSlides.pdf</w:t>
        </w:r>
      </w:hyperlink>
    </w:p>
  </w:endnote>
  <w:endnote w:id="162">
    <w:p w14:paraId="5B037497" w14:textId="77777777" w:rsidR="006506BB" w:rsidRPr="00AB1ECB" w:rsidRDefault="006506BB" w:rsidP="00A22CBB">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Letha Tawney and Joshua N. </w:t>
      </w:r>
      <w:proofErr w:type="spellStart"/>
      <w:r w:rsidRPr="00AB1ECB">
        <w:rPr>
          <w:color w:val="4C4C4C" w:themeColor="text2"/>
          <w:sz w:val="16"/>
          <w:szCs w:val="16"/>
        </w:rPr>
        <w:t>Ryor</w:t>
      </w:r>
      <w:proofErr w:type="spellEnd"/>
      <w:r w:rsidRPr="00AB1ECB">
        <w:rPr>
          <w:color w:val="4C4C4C" w:themeColor="text2"/>
          <w:sz w:val="16"/>
          <w:szCs w:val="16"/>
        </w:rPr>
        <w:t xml:space="preserve">, “Emerging Green Tariffs in U.S. Regulated Electricity </w:t>
      </w:r>
      <w:proofErr w:type="spellStart"/>
      <w:r w:rsidRPr="00AB1ECB">
        <w:rPr>
          <w:color w:val="4C4C4C" w:themeColor="text2"/>
          <w:sz w:val="16"/>
          <w:szCs w:val="16"/>
        </w:rPr>
        <w:t>Market,s</w:t>
      </w:r>
      <w:proofErr w:type="spellEnd"/>
      <w:r w:rsidRPr="00AB1ECB">
        <w:rPr>
          <w:color w:val="4C4C4C" w:themeColor="text2"/>
          <w:sz w:val="16"/>
          <w:szCs w:val="16"/>
        </w:rPr>
        <w:t xml:space="preserve">” World Resources Institute, August 2015, </w:t>
      </w:r>
      <w:hyperlink r:id="rId116" w:history="1">
        <w:r w:rsidRPr="00AB1ECB">
          <w:rPr>
            <w:rStyle w:val="Hyperlink"/>
            <w:color w:val="4C4C4C" w:themeColor="text2"/>
            <w:sz w:val="16"/>
            <w:szCs w:val="16"/>
          </w:rPr>
          <w:t>https://www.wri.org/sites/default/files/green_tarriffs_us_electricity_markets_0715.pdf</w:t>
        </w:r>
      </w:hyperlink>
      <w:r w:rsidRPr="00AB1ECB">
        <w:rPr>
          <w:color w:val="4C4C4C" w:themeColor="text2"/>
          <w:sz w:val="16"/>
          <w:szCs w:val="16"/>
        </w:rPr>
        <w:t xml:space="preserve"> </w:t>
      </w:r>
    </w:p>
  </w:endnote>
  <w:endnote w:id="163">
    <w:p w14:paraId="2E9CBBD8" w14:textId="77777777" w:rsidR="006506BB" w:rsidRPr="00AB1ECB" w:rsidRDefault="006506BB" w:rsidP="00A22CBB">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“Corporate Renewable Energy Buyers’ Principles: Increasing Access to Renewable Energy,” World Wildlife Fund and World Resources Institute, December 2015, </w:t>
      </w:r>
      <w:hyperlink r:id="rId117" w:history="1">
        <w:r w:rsidRPr="00AB1ECB">
          <w:rPr>
            <w:rStyle w:val="Hyperlink"/>
            <w:color w:val="4C4C4C" w:themeColor="text2"/>
            <w:sz w:val="16"/>
            <w:szCs w:val="16"/>
          </w:rPr>
          <w:t>http://www.wri.org/sites/default/files/Corporate_Renewable_Energy_Buyers_Principles.pdf</w:t>
        </w:r>
      </w:hyperlink>
      <w:r w:rsidRPr="00AB1ECB">
        <w:rPr>
          <w:color w:val="4C4C4C" w:themeColor="text2"/>
          <w:sz w:val="16"/>
          <w:szCs w:val="16"/>
        </w:rPr>
        <w:t xml:space="preserve">. </w:t>
      </w:r>
    </w:p>
  </w:endnote>
  <w:endnote w:id="164">
    <w:p w14:paraId="4DDF1207" w14:textId="77777777" w:rsidR="006506BB" w:rsidRPr="00AB1ECB" w:rsidRDefault="006506BB" w:rsidP="00A22CBB">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Letha Tawney, “Above and Beyond: Green Tariff Design for Traditional Utilities,” World Resources Institute, January 2014, </w:t>
      </w:r>
      <w:hyperlink r:id="rId118" w:history="1">
        <w:r w:rsidRPr="00AB1ECB">
          <w:rPr>
            <w:rStyle w:val="Hyperlink"/>
            <w:color w:val="4C4C4C" w:themeColor="text2"/>
            <w:sz w:val="16"/>
            <w:szCs w:val="16"/>
          </w:rPr>
          <w:t>http://www.wri.org/sites/default/files/green-tariff-design-final.pdf</w:t>
        </w:r>
      </w:hyperlink>
      <w:r w:rsidRPr="00AB1ECB">
        <w:rPr>
          <w:color w:val="4C4C4C" w:themeColor="text2"/>
          <w:sz w:val="16"/>
          <w:szCs w:val="16"/>
        </w:rPr>
        <w:t xml:space="preserve"> </w:t>
      </w:r>
    </w:p>
  </w:endnote>
  <w:endnote w:id="165">
    <w:p w14:paraId="01C3781B" w14:textId="77777777" w:rsidR="006506BB" w:rsidRPr="00AB1ECB" w:rsidRDefault="006506BB" w:rsidP="00A22CBB">
      <w:pPr>
        <w:pStyle w:val="EndnoteText"/>
        <w:rPr>
          <w:color w:val="4C4C4C" w:themeColor="text2"/>
          <w:sz w:val="16"/>
          <w:szCs w:val="16"/>
        </w:rPr>
      </w:pPr>
      <w:r w:rsidRPr="00AB1ECB">
        <w:rPr>
          <w:rStyle w:val="EndnoteReference"/>
          <w:color w:val="4C4C4C" w:themeColor="text2"/>
          <w:sz w:val="16"/>
          <w:szCs w:val="16"/>
        </w:rPr>
        <w:endnoteRef/>
      </w:r>
      <w:r w:rsidRPr="00AB1ECB">
        <w:rPr>
          <w:color w:val="4C4C4C" w:themeColor="text2"/>
          <w:sz w:val="16"/>
          <w:szCs w:val="16"/>
        </w:rPr>
        <w:t xml:space="preserve"> </w:t>
      </w:r>
      <w:r w:rsidRPr="00AB1ECB">
        <w:rPr>
          <w:i/>
          <w:color w:val="4C4C4C" w:themeColor="text2"/>
          <w:sz w:val="16"/>
          <w:szCs w:val="16"/>
        </w:rPr>
        <w:t xml:space="preserve">Power Forward 2.0: How American Companies Are Setting Clean Energy Targets and Capturing Greater Business Value, </w:t>
      </w:r>
      <w:r w:rsidRPr="00AB1ECB">
        <w:rPr>
          <w:color w:val="4C4C4C" w:themeColor="text2"/>
          <w:sz w:val="16"/>
          <w:szCs w:val="16"/>
        </w:rPr>
        <w:t>WWF, Ceres, Calvert Investments, and David Gardiner and Associates, June 19, 2014, http://www.ceres.org/resources/reports/power-forward-2.0-how-american-companies-are-setting-clean-energy-targets-and-capturing-greater-business-value</w:t>
      </w:r>
    </w:p>
  </w:endnote>
  <w:endnote w:id="166">
    <w:p w14:paraId="03134A33"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“Minnesota State Profile and Energy Estimates,” U.S. Energy Information Administration, March 17, 2016, </w:t>
      </w:r>
      <w:hyperlink r:id="rId119" w:history="1">
        <w:r w:rsidRPr="001D23E0">
          <w:rPr>
            <w:rStyle w:val="Hyperlink"/>
            <w:rFonts w:eastAsia="Arial" w:cs="Arial"/>
            <w:color w:val="4C4C4C" w:themeColor="text2"/>
            <w:sz w:val="16"/>
            <w:szCs w:val="16"/>
          </w:rPr>
          <w:t>http://www.eia.gov/state/?sid=MN</w:t>
        </w:r>
      </w:hyperlink>
      <w:r w:rsidRPr="001D23E0">
        <w:rPr>
          <w:rStyle w:val="Hyperlink"/>
          <w:rFonts w:eastAsia="Arial" w:cs="Arial"/>
          <w:color w:val="4C4C4C" w:themeColor="text2"/>
          <w:sz w:val="16"/>
          <w:szCs w:val="16"/>
        </w:rPr>
        <w:t xml:space="preserve">. </w:t>
      </w:r>
      <w:r w:rsidRPr="001D23E0">
        <w:rPr>
          <w:color w:val="4C4C4C" w:themeColor="text2"/>
          <w:sz w:val="16"/>
          <w:szCs w:val="16"/>
        </w:rPr>
        <w:t xml:space="preserve"> </w:t>
      </w:r>
    </w:p>
  </w:endnote>
  <w:endnote w:id="167">
    <w:p w14:paraId="1612482B"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“Minnesota.” American Council for an Energy-Efficiency Economy, 2014, </w:t>
      </w:r>
      <w:hyperlink r:id="rId120" w:history="1">
        <w:r w:rsidRPr="001D23E0">
          <w:rPr>
            <w:rStyle w:val="Hyperlink"/>
            <w:color w:val="4C4C4C" w:themeColor="text2"/>
            <w:sz w:val="16"/>
            <w:szCs w:val="16"/>
          </w:rPr>
          <w:t>http://database.aceee.org/state/minnesota</w:t>
        </w:r>
      </w:hyperlink>
      <w:r w:rsidRPr="001D23E0">
        <w:rPr>
          <w:color w:val="4C4C4C" w:themeColor="text2"/>
          <w:sz w:val="16"/>
          <w:szCs w:val="16"/>
        </w:rPr>
        <w:t>.</w:t>
      </w:r>
    </w:p>
  </w:endnote>
  <w:endnote w:id="168">
    <w:p w14:paraId="56675198" w14:textId="77777777" w:rsidR="006506BB" w:rsidRPr="001D23E0" w:rsidRDefault="006506BB" w:rsidP="00164A5A">
      <w:pPr>
        <w:rPr>
          <w:color w:val="4C4C4C" w:themeColor="text2"/>
          <w:sz w:val="16"/>
          <w:szCs w:val="16"/>
          <w:lang w:val="it-IT"/>
        </w:rPr>
      </w:pPr>
      <w:r w:rsidRPr="001D23E0">
        <w:rPr>
          <w:color w:val="4C4C4C" w:themeColor="text2"/>
          <w:sz w:val="16"/>
          <w:szCs w:val="16"/>
          <w:vertAlign w:val="superscript"/>
        </w:rPr>
        <w:endnoteRef/>
      </w:r>
      <w:r w:rsidRPr="001D23E0">
        <w:rPr>
          <w:color w:val="4C4C4C" w:themeColor="text2"/>
          <w:sz w:val="16"/>
          <w:szCs w:val="16"/>
          <w:lang w:val="it-IT"/>
        </w:rPr>
        <w:t xml:space="preserve"> </w:t>
      </w:r>
      <w:r w:rsidRPr="001D23E0">
        <w:rPr>
          <w:color w:val="4C4C4C" w:themeColor="text2"/>
          <w:sz w:val="16"/>
          <w:szCs w:val="16"/>
        </w:rPr>
        <w:t xml:space="preserve">“Minnesota State Profile and Energy Estimates,” U.S. Energy Information Administration, March 17, 2016, </w:t>
      </w:r>
      <w:hyperlink r:id="rId121" w:history="1">
        <w:r w:rsidRPr="001D23E0">
          <w:rPr>
            <w:rStyle w:val="Hyperlink"/>
            <w:rFonts w:eastAsia="Arial" w:cs="Arial"/>
            <w:color w:val="4C4C4C" w:themeColor="text2"/>
            <w:sz w:val="16"/>
            <w:szCs w:val="16"/>
          </w:rPr>
          <w:t>http://www.eia.gov/state/?sid=MN</w:t>
        </w:r>
      </w:hyperlink>
      <w:r w:rsidRPr="001D23E0">
        <w:rPr>
          <w:rStyle w:val="Hyperlink"/>
          <w:rFonts w:eastAsia="Arial" w:cs="Arial"/>
          <w:color w:val="4C4C4C" w:themeColor="text2"/>
          <w:sz w:val="16"/>
          <w:szCs w:val="16"/>
        </w:rPr>
        <w:t xml:space="preserve">. </w:t>
      </w:r>
      <w:r w:rsidRPr="001D23E0">
        <w:rPr>
          <w:color w:val="4C4C4C" w:themeColor="text2"/>
          <w:sz w:val="16"/>
          <w:szCs w:val="16"/>
        </w:rPr>
        <w:t xml:space="preserve"> </w:t>
      </w:r>
    </w:p>
  </w:endnote>
  <w:endnote w:id="169">
    <w:p w14:paraId="54B218FF" w14:textId="77777777" w:rsidR="006506BB" w:rsidRPr="001D23E0" w:rsidRDefault="006506BB" w:rsidP="00164A5A">
      <w:pPr>
        <w:rPr>
          <w:color w:val="4C4C4C" w:themeColor="text2"/>
          <w:sz w:val="16"/>
          <w:szCs w:val="16"/>
          <w:lang w:val="it-IT"/>
        </w:rPr>
      </w:pPr>
      <w:r w:rsidRPr="001D23E0">
        <w:rPr>
          <w:color w:val="4C4C4C" w:themeColor="text2"/>
          <w:sz w:val="16"/>
          <w:szCs w:val="16"/>
          <w:vertAlign w:val="superscript"/>
        </w:rPr>
        <w:endnoteRef/>
      </w:r>
      <w:r w:rsidRPr="001D23E0">
        <w:rPr>
          <w:color w:val="4C4C4C" w:themeColor="text2"/>
          <w:sz w:val="16"/>
          <w:szCs w:val="16"/>
          <w:lang w:val="it-IT"/>
        </w:rPr>
        <w:t xml:space="preserve"> </w:t>
      </w:r>
      <w:r w:rsidRPr="001D23E0">
        <w:rPr>
          <w:color w:val="4C4C4C" w:themeColor="text2"/>
          <w:sz w:val="16"/>
          <w:szCs w:val="16"/>
        </w:rPr>
        <w:t xml:space="preserve">“Minnesota.” American Council for an Energy-Efficiency Economy, 2014, </w:t>
      </w:r>
      <w:hyperlink r:id="rId122" w:history="1">
        <w:r w:rsidRPr="001D23E0">
          <w:rPr>
            <w:rStyle w:val="Hyperlink"/>
            <w:color w:val="4C4C4C" w:themeColor="text2"/>
            <w:sz w:val="16"/>
            <w:szCs w:val="16"/>
          </w:rPr>
          <w:t>http://database.aceee.org/state/minnesota</w:t>
        </w:r>
      </w:hyperlink>
      <w:r w:rsidRPr="001D23E0">
        <w:rPr>
          <w:color w:val="4C4C4C" w:themeColor="text2"/>
          <w:sz w:val="16"/>
          <w:szCs w:val="16"/>
        </w:rPr>
        <w:t>.</w:t>
      </w:r>
    </w:p>
  </w:endnote>
  <w:endnote w:id="170">
    <w:p w14:paraId="4F75D43D" w14:textId="77777777" w:rsidR="006506BB" w:rsidRPr="001D23E0" w:rsidRDefault="006506BB" w:rsidP="00164A5A">
      <w:pPr>
        <w:rPr>
          <w:color w:val="4C4C4C" w:themeColor="text2"/>
          <w:sz w:val="16"/>
          <w:szCs w:val="16"/>
          <w:lang w:val="it-IT"/>
        </w:rPr>
      </w:pPr>
      <w:r w:rsidRPr="001D23E0">
        <w:rPr>
          <w:rStyle w:val="EndnoteReference"/>
          <w:color w:val="4C4C4C" w:themeColor="text2"/>
          <w:sz w:val="16"/>
          <w:szCs w:val="16"/>
        </w:rPr>
        <w:endnoteRef/>
      </w:r>
      <w:r w:rsidRPr="001D23E0">
        <w:rPr>
          <w:color w:val="4C4C4C" w:themeColor="text2"/>
          <w:sz w:val="16"/>
          <w:szCs w:val="16"/>
          <w:lang w:val="it-IT"/>
        </w:rPr>
        <w:t xml:space="preserve"> </w:t>
      </w:r>
      <w:r w:rsidRPr="001D23E0">
        <w:rPr>
          <w:color w:val="4C4C4C" w:themeColor="text2"/>
          <w:sz w:val="16"/>
          <w:szCs w:val="16"/>
        </w:rPr>
        <w:t xml:space="preserve">“Status of State Energy Code Adoption,” U.S. Department of Energy, March 18, 2016, </w:t>
      </w:r>
      <w:hyperlink r:id="rId123" w:history="1">
        <w:r w:rsidRPr="001D23E0">
          <w:rPr>
            <w:rStyle w:val="Hyperlink"/>
            <w:color w:val="4C4C4C" w:themeColor="text2"/>
            <w:sz w:val="16"/>
            <w:szCs w:val="16"/>
          </w:rPr>
          <w:t>https://www.energycodes.gov/adoption/states</w:t>
        </w:r>
      </w:hyperlink>
      <w:r w:rsidRPr="001D23E0">
        <w:rPr>
          <w:rStyle w:val="Hyperlink"/>
          <w:color w:val="4C4C4C" w:themeColor="text2"/>
          <w:sz w:val="16"/>
          <w:szCs w:val="16"/>
        </w:rPr>
        <w:t xml:space="preserve">.  </w:t>
      </w:r>
    </w:p>
  </w:endnote>
  <w:endnote w:id="171">
    <w:p w14:paraId="765C0DAF"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“The 2015 Minnesota state building codes,” Minnesota Department of Labor and Industry, accessed April 12, 2016, http://www.dli.mn.gov/ccld/codes15.asp.</w:t>
      </w:r>
    </w:p>
  </w:endnote>
  <w:endnote w:id="172">
    <w:p w14:paraId="4485F77F"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“B3 Sustainable Building 2030 Standards,” Minnesota B3, April 12, 2016, http://www.b3mn.org/2030energystandard/.</w:t>
      </w:r>
    </w:p>
  </w:endnote>
  <w:endnote w:id="173">
    <w:p w14:paraId="6274A5F7" w14:textId="77777777" w:rsidR="006506BB" w:rsidRPr="001D23E0" w:rsidRDefault="006506BB" w:rsidP="00164A5A">
      <w:pPr>
        <w:rPr>
          <w:color w:val="4C4C4C" w:themeColor="text2"/>
          <w:sz w:val="16"/>
          <w:szCs w:val="16"/>
          <w:lang w:val="it-IT"/>
        </w:rPr>
      </w:pPr>
      <w:r w:rsidRPr="001D23E0">
        <w:rPr>
          <w:color w:val="4C4C4C" w:themeColor="text2"/>
          <w:sz w:val="16"/>
          <w:szCs w:val="16"/>
          <w:vertAlign w:val="superscript"/>
        </w:rPr>
        <w:endnoteRef/>
      </w:r>
      <w:r w:rsidRPr="001D23E0">
        <w:rPr>
          <w:color w:val="4C4C4C" w:themeColor="text2"/>
          <w:sz w:val="16"/>
          <w:szCs w:val="16"/>
          <w:lang w:val="it-IT"/>
        </w:rPr>
        <w:t xml:space="preserve"> </w:t>
      </w:r>
      <w:r w:rsidRPr="001D23E0">
        <w:rPr>
          <w:color w:val="4C4C4C" w:themeColor="text2"/>
          <w:sz w:val="16"/>
          <w:szCs w:val="16"/>
        </w:rPr>
        <w:t xml:space="preserve">“Residential, Commercial, Industrial and Institutional (RCII) #2 SB2030/Zero Energy Transition/Codes,” The Center for Climate Strategies, Inc., December 14, 2014, </w:t>
      </w:r>
      <w:hyperlink r:id="rId124" w:history="1">
        <w:r w:rsidRPr="001D23E0">
          <w:rPr>
            <w:rStyle w:val="Hyperlink"/>
            <w:color w:val="4C4C4C" w:themeColor="text2"/>
            <w:sz w:val="16"/>
            <w:szCs w:val="16"/>
          </w:rPr>
          <w:t>http://www.environmental-initiative.org/images/files/CSEO/RCII-2%20SB2030%20Zero%20Energy%20Transition%20Codes.pdf</w:t>
        </w:r>
      </w:hyperlink>
      <w:r w:rsidRPr="001D23E0">
        <w:rPr>
          <w:color w:val="4C4C4C" w:themeColor="text2"/>
          <w:sz w:val="16"/>
          <w:szCs w:val="16"/>
        </w:rPr>
        <w:t>.</w:t>
      </w:r>
    </w:p>
  </w:endnote>
  <w:endnote w:id="174">
    <w:p w14:paraId="6CD0020A" w14:textId="5A4AE588" w:rsidR="006506BB" w:rsidRPr="001D23E0" w:rsidRDefault="006506BB" w:rsidP="00164A5A">
      <w:pPr>
        <w:rPr>
          <w:color w:val="4C4C4C" w:themeColor="text2"/>
          <w:sz w:val="16"/>
          <w:szCs w:val="16"/>
        </w:rPr>
      </w:pPr>
      <w:r w:rsidRPr="001D23E0">
        <w:rPr>
          <w:color w:val="4C4C4C" w:themeColor="text2"/>
          <w:sz w:val="16"/>
          <w:szCs w:val="16"/>
          <w:vertAlign w:val="superscript"/>
        </w:rPr>
        <w:endnoteRef/>
      </w:r>
      <w:r w:rsidRPr="001D23E0">
        <w:rPr>
          <w:color w:val="4C4C4C" w:themeColor="text2"/>
          <w:sz w:val="16"/>
          <w:szCs w:val="16"/>
          <w:lang w:val="it-IT"/>
        </w:rPr>
        <w:t xml:space="preserve"> </w:t>
      </w:r>
      <w:r w:rsidRPr="001D23E0">
        <w:rPr>
          <w:color w:val="4C4C4C" w:themeColor="text2"/>
          <w:sz w:val="16"/>
          <w:szCs w:val="16"/>
          <w:lang w:val="it-IT"/>
        </w:rPr>
        <w:t>CSEO: http://www.environmental-initiative.org/images/files/CSEO/RCII-2</w:t>
      </w:r>
      <w:r w:rsidRPr="001D23E0" w:rsidDel="00E827EC">
        <w:rPr>
          <w:color w:val="4C4C4C" w:themeColor="text2"/>
          <w:sz w:val="16"/>
          <w:szCs w:val="16"/>
          <w:lang w:val="it-IT"/>
        </w:rPr>
        <w:t>%</w:t>
      </w:r>
      <w:r w:rsidRPr="001D23E0">
        <w:rPr>
          <w:color w:val="4C4C4C" w:themeColor="text2"/>
          <w:sz w:val="16"/>
          <w:szCs w:val="16"/>
          <w:lang w:val="it-IT"/>
        </w:rPr>
        <w:t>20SB2030%20Zero%20Energy%20Transition%20Codes</w:t>
      </w:r>
      <w:r w:rsidRPr="001D23E0">
        <w:rPr>
          <w:color w:val="4C4C4C" w:themeColor="text2"/>
          <w:sz w:val="16"/>
          <w:szCs w:val="16"/>
        </w:rPr>
        <w:t>percent20SB2030</w:t>
      </w:r>
      <w:r w:rsidRPr="001D23E0" w:rsidDel="00E827EC">
        <w:rPr>
          <w:color w:val="4C4C4C" w:themeColor="text2"/>
          <w:sz w:val="16"/>
          <w:szCs w:val="16"/>
        </w:rPr>
        <w:t>%</w:t>
      </w:r>
      <w:r w:rsidRPr="001D23E0">
        <w:rPr>
          <w:color w:val="4C4C4C" w:themeColor="text2"/>
          <w:sz w:val="16"/>
          <w:szCs w:val="16"/>
        </w:rPr>
        <w:t>percent20Zero</w:t>
      </w:r>
      <w:r w:rsidRPr="001D23E0" w:rsidDel="00E827EC">
        <w:rPr>
          <w:color w:val="4C4C4C" w:themeColor="text2"/>
          <w:sz w:val="16"/>
          <w:szCs w:val="16"/>
        </w:rPr>
        <w:t>%</w:t>
      </w:r>
      <w:r w:rsidRPr="001D23E0">
        <w:rPr>
          <w:color w:val="4C4C4C" w:themeColor="text2"/>
          <w:sz w:val="16"/>
          <w:szCs w:val="16"/>
        </w:rPr>
        <w:t>percent20Energy</w:t>
      </w:r>
      <w:r w:rsidRPr="001D23E0" w:rsidDel="00E827EC">
        <w:rPr>
          <w:color w:val="4C4C4C" w:themeColor="text2"/>
          <w:sz w:val="16"/>
          <w:szCs w:val="16"/>
        </w:rPr>
        <w:t>%</w:t>
      </w:r>
      <w:r w:rsidRPr="001D23E0">
        <w:rPr>
          <w:color w:val="4C4C4C" w:themeColor="text2"/>
          <w:sz w:val="16"/>
          <w:szCs w:val="16"/>
        </w:rPr>
        <w:t>percent20Transition</w:t>
      </w:r>
      <w:r w:rsidRPr="001D23E0" w:rsidDel="00E827EC">
        <w:rPr>
          <w:color w:val="4C4C4C" w:themeColor="text2"/>
          <w:sz w:val="16"/>
          <w:szCs w:val="16"/>
        </w:rPr>
        <w:t>%</w:t>
      </w:r>
      <w:r w:rsidRPr="001D23E0">
        <w:rPr>
          <w:color w:val="4C4C4C" w:themeColor="text2"/>
          <w:sz w:val="16"/>
          <w:szCs w:val="16"/>
        </w:rPr>
        <w:t>percent20Codes</w:t>
      </w:r>
      <w:r w:rsidRPr="001D23E0">
        <w:rPr>
          <w:color w:val="4C4C4C" w:themeColor="text2"/>
          <w:sz w:val="16"/>
          <w:szCs w:val="16"/>
          <w:lang w:val="it-IT"/>
        </w:rPr>
        <w:t xml:space="preserve">.pdf </w:t>
      </w:r>
      <w:r w:rsidRPr="001D23E0">
        <w:rPr>
          <w:color w:val="4C4C4C" w:themeColor="text2"/>
          <w:sz w:val="16"/>
          <w:szCs w:val="16"/>
        </w:rPr>
        <w:t xml:space="preserve">“Residential, Commercial, Industrial and Institutional (RCII) #2 SB2030/Zero Energy Transition/Codes,” The Center for Climate Strategies, Inc., December 14, 2014, </w:t>
      </w:r>
      <w:hyperlink r:id="rId125" w:history="1">
        <w:r w:rsidRPr="001D23E0">
          <w:rPr>
            <w:rStyle w:val="Hyperlink"/>
            <w:color w:val="4C4C4C" w:themeColor="text2"/>
            <w:sz w:val="16"/>
            <w:szCs w:val="16"/>
          </w:rPr>
          <w:t>http://www.environmental-initiative.org/images/files/CSEO/RCII-2%20SB2030%20Zero%20Energy%20Transition%20Codes.pdf</w:t>
        </w:r>
      </w:hyperlink>
      <w:r w:rsidRPr="001D23E0">
        <w:rPr>
          <w:color w:val="4C4C4C" w:themeColor="text2"/>
          <w:sz w:val="16"/>
          <w:szCs w:val="16"/>
        </w:rPr>
        <w:t xml:space="preserve">. </w:t>
      </w:r>
    </w:p>
  </w:endnote>
  <w:endnote w:id="175">
    <w:p w14:paraId="02EB34D2"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This can be tracked by local jurisdictions for non-state bonded buildings.</w:t>
      </w:r>
    </w:p>
  </w:endnote>
  <w:endnote w:id="176">
    <w:p w14:paraId="14560115"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This can be tracked on a local jurisdiction scale using B3 Benchmarking, which compares actual energy use to a code-based model.</w:t>
      </w:r>
    </w:p>
  </w:endnote>
  <w:endnote w:id="177">
    <w:p w14:paraId="42743D3A"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“Residential, Commercial, Industrial and Institutional (RCII) #2 SB2030/Zero Energy Transition/Codes,” The Center for Climate Strategies, Inc., December 14, 2014, </w:t>
      </w:r>
      <w:hyperlink r:id="rId126" w:history="1">
        <w:r w:rsidRPr="001D23E0">
          <w:rPr>
            <w:rStyle w:val="Hyperlink"/>
            <w:color w:val="4C4C4C" w:themeColor="text2"/>
            <w:sz w:val="16"/>
            <w:szCs w:val="16"/>
          </w:rPr>
          <w:t>http://www.environmental-initiative.org/images/files/CSEO/RCII-2%20SB2030%20Zero%20Energy%20Transition%20Codes.pdf</w:t>
        </w:r>
      </w:hyperlink>
      <w:r w:rsidRPr="001D23E0">
        <w:rPr>
          <w:color w:val="4C4C4C" w:themeColor="text2"/>
          <w:sz w:val="16"/>
          <w:szCs w:val="16"/>
        </w:rPr>
        <w:t xml:space="preserve">. </w:t>
      </w:r>
    </w:p>
  </w:endnote>
  <w:endnote w:id="178">
    <w:p w14:paraId="005DA634"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“Saint Paul Minnesota Sustainable Building Policy,” University of Minnesota, June 20, 2012, </w:t>
      </w:r>
      <w:hyperlink r:id="rId127" w:history="1">
        <w:r w:rsidRPr="001D23E0">
          <w:rPr>
            <w:rStyle w:val="Hyperlink"/>
            <w:color w:val="4C4C4C" w:themeColor="text2"/>
            <w:sz w:val="16"/>
            <w:szCs w:val="16"/>
          </w:rPr>
          <w:t>http://www.sustainablebuildingpolicy.umn.edu/saintpaul/legislation.html</w:t>
        </w:r>
      </w:hyperlink>
      <w:r w:rsidRPr="001D23E0">
        <w:rPr>
          <w:color w:val="4C4C4C" w:themeColor="text2"/>
          <w:sz w:val="16"/>
          <w:szCs w:val="16"/>
        </w:rPr>
        <w:t xml:space="preserve"> </w:t>
      </w:r>
    </w:p>
  </w:endnote>
  <w:endnote w:id="179">
    <w:p w14:paraId="23BDBAFC"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“Green Building Program,” Maplewood Minnesota, accessed April 12, 2016, </w:t>
      </w:r>
      <w:hyperlink r:id="rId128" w:history="1">
        <w:r w:rsidRPr="001D23E0">
          <w:rPr>
            <w:rStyle w:val="Hyperlink"/>
            <w:color w:val="4C4C4C" w:themeColor="text2"/>
            <w:sz w:val="16"/>
            <w:szCs w:val="16"/>
          </w:rPr>
          <w:t>http://maplewoodmn.gov/756/Green-Building-Program</w:t>
        </w:r>
      </w:hyperlink>
      <w:r w:rsidRPr="001D23E0">
        <w:rPr>
          <w:color w:val="4C4C4C" w:themeColor="text2"/>
          <w:sz w:val="16"/>
          <w:szCs w:val="16"/>
        </w:rPr>
        <w:t xml:space="preserve">.  </w:t>
      </w:r>
    </w:p>
  </w:endnote>
  <w:endnote w:id="180">
    <w:p w14:paraId="40BB21D3"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w:t>
      </w:r>
      <w:proofErr w:type="spellStart"/>
      <w:r w:rsidRPr="001D23E0">
        <w:rPr>
          <w:color w:val="4C4C4C" w:themeColor="text2"/>
          <w:sz w:val="16"/>
          <w:szCs w:val="16"/>
        </w:rPr>
        <w:t>Aneesh</w:t>
      </w:r>
      <w:proofErr w:type="spellEnd"/>
      <w:r w:rsidRPr="001D23E0">
        <w:rPr>
          <w:color w:val="4C4C4C" w:themeColor="text2"/>
          <w:sz w:val="16"/>
          <w:szCs w:val="16"/>
        </w:rPr>
        <w:t xml:space="preserve"> Chopra, “Modeling a Green Energy Challenge after a Blue Button,” The White House Blog, September 15, 2011, </w:t>
      </w:r>
      <w:hyperlink r:id="rId129" w:history="1">
        <w:r w:rsidRPr="001D23E0">
          <w:rPr>
            <w:rStyle w:val="Hyperlink"/>
            <w:color w:val="4C4C4C" w:themeColor="text2"/>
            <w:sz w:val="16"/>
            <w:szCs w:val="16"/>
          </w:rPr>
          <w:t>https://www.whitehouse.gov/blog/2011/09/15/modeling-green-energy-challenge-after-blue-button</w:t>
        </w:r>
      </w:hyperlink>
      <w:r w:rsidRPr="001D23E0">
        <w:rPr>
          <w:rStyle w:val="Hyperlink"/>
          <w:color w:val="4C4C4C" w:themeColor="text2"/>
          <w:sz w:val="16"/>
          <w:szCs w:val="16"/>
        </w:rPr>
        <w:t xml:space="preserve">. </w:t>
      </w:r>
      <w:r w:rsidRPr="001D23E0">
        <w:rPr>
          <w:color w:val="4C4C4C" w:themeColor="text2"/>
          <w:sz w:val="16"/>
          <w:szCs w:val="16"/>
        </w:rPr>
        <w:t xml:space="preserve"> </w:t>
      </w:r>
    </w:p>
  </w:endnote>
  <w:endnote w:id="181">
    <w:p w14:paraId="660D806E"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“Green Button,” Green Button, accessed April 12, 2016, </w:t>
      </w:r>
      <w:hyperlink r:id="rId130" w:history="1">
        <w:r w:rsidRPr="001D23E0">
          <w:rPr>
            <w:rStyle w:val="Hyperlink"/>
            <w:color w:val="4C4C4C" w:themeColor="text2"/>
            <w:sz w:val="16"/>
            <w:szCs w:val="16"/>
          </w:rPr>
          <w:t>http://www.greenbuttondata.org/</w:t>
        </w:r>
      </w:hyperlink>
      <w:r w:rsidRPr="001D23E0">
        <w:rPr>
          <w:color w:val="4C4C4C" w:themeColor="text2"/>
          <w:sz w:val="16"/>
          <w:szCs w:val="16"/>
        </w:rPr>
        <w:t xml:space="preserve">. </w:t>
      </w:r>
    </w:p>
  </w:endnote>
  <w:endnote w:id="182">
    <w:p w14:paraId="2F04E191"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“Green Button,” Green Button, accessed April 12, 2016, </w:t>
      </w:r>
      <w:hyperlink r:id="rId131" w:history="1">
        <w:r w:rsidRPr="001D23E0">
          <w:rPr>
            <w:rStyle w:val="Hyperlink"/>
            <w:color w:val="4C4C4C" w:themeColor="text2"/>
            <w:sz w:val="16"/>
            <w:szCs w:val="16"/>
          </w:rPr>
          <w:t>http://www.greenbuttondata.org/</w:t>
        </w:r>
      </w:hyperlink>
      <w:r w:rsidRPr="001D23E0">
        <w:rPr>
          <w:color w:val="4C4C4C" w:themeColor="text2"/>
          <w:sz w:val="16"/>
          <w:szCs w:val="16"/>
        </w:rPr>
        <w:t>.</w:t>
      </w:r>
    </w:p>
  </w:endnote>
  <w:endnote w:id="183">
    <w:p w14:paraId="694E36D7"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“Notice of Comment Period on Customer Data Privacy, </w:t>
      </w:r>
      <w:proofErr w:type="spellStart"/>
      <w:r w:rsidRPr="001D23E0">
        <w:rPr>
          <w:color w:val="4C4C4C" w:themeColor="text2"/>
          <w:sz w:val="16"/>
          <w:szCs w:val="16"/>
        </w:rPr>
        <w:t>Sate</w:t>
      </w:r>
      <w:proofErr w:type="spellEnd"/>
      <w:r w:rsidRPr="001D23E0">
        <w:rPr>
          <w:color w:val="4C4C4C" w:themeColor="text2"/>
          <w:sz w:val="16"/>
          <w:szCs w:val="16"/>
        </w:rPr>
        <w:t xml:space="preserve"> of Minnesota Public Utilities Commission, Docket number E,G-999/CI-12-1344, January 8, 2013, </w:t>
      </w:r>
      <w:hyperlink r:id="rId132" w:history="1">
        <w:r w:rsidRPr="001D23E0">
          <w:rPr>
            <w:rStyle w:val="Hyperlink"/>
            <w:color w:val="4C4C4C" w:themeColor="text2"/>
            <w:sz w:val="16"/>
            <w:szCs w:val="16"/>
          </w:rPr>
          <w:t>https://www.edockets.state.mn.us/EFiling/edockets/searchDocuments.do?method=showPoup&amp;documentId={20B55EFE-85CD-4A4A-9AEA-7DA781BA691A}&amp;documentTitle=20131-82520-01</w:t>
        </w:r>
      </w:hyperlink>
      <w:r w:rsidRPr="001D23E0">
        <w:rPr>
          <w:color w:val="4C4C4C" w:themeColor="text2"/>
          <w:sz w:val="16"/>
          <w:szCs w:val="16"/>
        </w:rPr>
        <w:t xml:space="preserve"> </w:t>
      </w:r>
    </w:p>
  </w:endnote>
  <w:endnote w:id="184">
    <w:p w14:paraId="789AB4A9"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w:t>
      </w:r>
      <w:r w:rsidRPr="001D23E0">
        <w:rPr>
          <w:rFonts w:cs="Lucida Grande"/>
          <w:color w:val="4C4C4C" w:themeColor="text2"/>
          <w:sz w:val="16"/>
          <w:szCs w:val="16"/>
        </w:rPr>
        <w:t>“Energy Benchmarking,” Xcel Energy, 2016,</w:t>
      </w:r>
      <w:r w:rsidRPr="001D23E0">
        <w:rPr>
          <w:color w:val="4C4C4C" w:themeColor="text2"/>
          <w:sz w:val="16"/>
          <w:szCs w:val="16"/>
        </w:rPr>
        <w:t xml:space="preserve"> </w:t>
      </w:r>
      <w:hyperlink r:id="rId133" w:history="1">
        <w:r w:rsidRPr="001D23E0">
          <w:rPr>
            <w:rStyle w:val="Hyperlink"/>
            <w:color w:val="4C4C4C" w:themeColor="text2"/>
            <w:sz w:val="16"/>
            <w:szCs w:val="16"/>
          </w:rPr>
          <w:t>http://www.xcelenergy.com/Programs_and_Rebates/Business_Programs_and_Rebates/New_Construction_and_Whole_Building/Energy_Benchmarking</w:t>
        </w:r>
      </w:hyperlink>
      <w:r w:rsidRPr="001D23E0">
        <w:rPr>
          <w:color w:val="4C4C4C" w:themeColor="text2"/>
          <w:sz w:val="16"/>
          <w:szCs w:val="16"/>
        </w:rPr>
        <w:t xml:space="preserve"> </w:t>
      </w:r>
    </w:p>
  </w:endnote>
  <w:endnote w:id="185">
    <w:p w14:paraId="6211C070"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“B3 Benchmarking Newsletter,” Minnesota B3, March 2016, </w:t>
      </w:r>
      <w:hyperlink r:id="rId134" w:history="1">
        <w:r w:rsidRPr="001D23E0">
          <w:rPr>
            <w:rStyle w:val="Hyperlink"/>
            <w:rFonts w:cs="Lucida Grande"/>
            <w:color w:val="4C4C4C" w:themeColor="text2"/>
            <w:sz w:val="16"/>
            <w:szCs w:val="16"/>
          </w:rPr>
          <w:t>https://mn.b3benchmarking.com/News</w:t>
        </w:r>
      </w:hyperlink>
      <w:r w:rsidRPr="001D23E0">
        <w:rPr>
          <w:rFonts w:cs="Lucida Grande"/>
          <w:color w:val="4C4C4C" w:themeColor="text2"/>
          <w:sz w:val="16"/>
          <w:szCs w:val="16"/>
        </w:rPr>
        <w:t xml:space="preserve"> </w:t>
      </w:r>
    </w:p>
  </w:endnote>
  <w:endnote w:id="186">
    <w:p w14:paraId="5E106B11"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“Community Energy Reports,” Xcel Energy, 2016, </w:t>
      </w:r>
      <w:hyperlink r:id="rId135" w:history="1">
        <w:r w:rsidRPr="001D23E0">
          <w:rPr>
            <w:rStyle w:val="Hyperlink"/>
            <w:rFonts w:cs="Lucida Grande"/>
            <w:color w:val="4C4C4C" w:themeColor="text2"/>
            <w:sz w:val="16"/>
            <w:szCs w:val="16"/>
          </w:rPr>
          <w:t>http://www.xcelenergy.com/Partners/Municipalities/Community_Energy_Reports</w:t>
        </w:r>
      </w:hyperlink>
      <w:r w:rsidRPr="001D23E0">
        <w:rPr>
          <w:color w:val="4C4C4C" w:themeColor="text2"/>
          <w:sz w:val="16"/>
          <w:szCs w:val="16"/>
          <w:highlight w:val="yellow"/>
        </w:rPr>
        <w:t xml:space="preserve"> </w:t>
      </w:r>
    </w:p>
  </w:endnote>
  <w:endnote w:id="187">
    <w:p w14:paraId="36E857F9"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Alexandra B. </w:t>
      </w:r>
      <w:proofErr w:type="spellStart"/>
      <w:r w:rsidRPr="001D23E0">
        <w:rPr>
          <w:color w:val="4C4C4C" w:themeColor="text2"/>
          <w:sz w:val="16"/>
          <w:szCs w:val="16"/>
        </w:rPr>
        <w:t>Klass</w:t>
      </w:r>
      <w:proofErr w:type="spellEnd"/>
      <w:r w:rsidRPr="001D23E0">
        <w:rPr>
          <w:color w:val="4C4C4C" w:themeColor="text2"/>
          <w:sz w:val="16"/>
          <w:szCs w:val="16"/>
        </w:rPr>
        <w:t xml:space="preserve"> and Elizabeth J. Wilson, “Energy Consumption Data: The Key to Improved Energy Efficiency,” Social Science Research Network, May 5, 2015, </w:t>
      </w:r>
      <w:hyperlink r:id="rId136" w:history="1">
        <w:r w:rsidRPr="001D23E0">
          <w:rPr>
            <w:rStyle w:val="Hyperlink"/>
            <w:color w:val="4C4C4C" w:themeColor="text2"/>
            <w:sz w:val="16"/>
            <w:szCs w:val="16"/>
          </w:rPr>
          <w:t>http://papers.ssrn.com/sol3/papers.cfm?abstract_id=2602974</w:t>
        </w:r>
      </w:hyperlink>
      <w:r w:rsidRPr="001D23E0">
        <w:rPr>
          <w:color w:val="4C4C4C" w:themeColor="text2"/>
          <w:sz w:val="16"/>
          <w:szCs w:val="16"/>
        </w:rPr>
        <w:t xml:space="preserve"> </w:t>
      </w:r>
    </w:p>
  </w:endnote>
  <w:endnote w:id="188">
    <w:p w14:paraId="0A83BB69"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Tom McDougall, Cheri Schneider, Katie Schmitt, and Craig </w:t>
      </w:r>
      <w:proofErr w:type="spellStart"/>
      <w:r w:rsidRPr="001D23E0">
        <w:rPr>
          <w:color w:val="4C4C4C" w:themeColor="text2"/>
          <w:sz w:val="16"/>
          <w:szCs w:val="16"/>
        </w:rPr>
        <w:t>Andemar</w:t>
      </w:r>
      <w:proofErr w:type="spellEnd"/>
      <w:r w:rsidRPr="001D23E0">
        <w:rPr>
          <w:color w:val="4C4C4C" w:themeColor="text2"/>
          <w:sz w:val="16"/>
          <w:szCs w:val="16"/>
        </w:rPr>
        <w:t xml:space="preserve">,“Integrating Benchmarking into Utility Conservation Improvement Programs to Capture Great Energy Savings,” prepared by the </w:t>
      </w:r>
      <w:proofErr w:type="spellStart"/>
      <w:r w:rsidRPr="001D23E0">
        <w:rPr>
          <w:color w:val="4C4C4C" w:themeColor="text2"/>
          <w:sz w:val="16"/>
          <w:szCs w:val="16"/>
        </w:rPr>
        <w:t>Weidt</w:t>
      </w:r>
      <w:proofErr w:type="spellEnd"/>
      <w:r w:rsidRPr="001D23E0">
        <w:rPr>
          <w:color w:val="4C4C4C" w:themeColor="text2"/>
          <w:sz w:val="16"/>
          <w:szCs w:val="16"/>
        </w:rPr>
        <w:t xml:space="preserve"> Group for Minnesota Department of Commerce, Division of Energy Resources, August 2014, </w:t>
      </w:r>
      <w:hyperlink r:id="rId137" w:history="1">
        <w:r w:rsidRPr="001D23E0">
          <w:rPr>
            <w:rStyle w:val="Hyperlink"/>
            <w:color w:val="4C4C4C" w:themeColor="text2"/>
            <w:sz w:val="16"/>
            <w:szCs w:val="16"/>
          </w:rPr>
          <w:t>https://www.cards.commerce.state.mn.us/CARDS/security/search.do?method=showPoup&amp;documentId=%7b20FCCD12-7BD9-4055-B01E-6898CD7C9CD3%7d&amp;documentTitle=148413&amp;documentType=6</w:t>
        </w:r>
      </w:hyperlink>
      <w:r w:rsidRPr="001D23E0">
        <w:rPr>
          <w:color w:val="4C4C4C" w:themeColor="text2"/>
          <w:sz w:val="16"/>
          <w:szCs w:val="16"/>
        </w:rPr>
        <w:t xml:space="preserve"> </w:t>
      </w:r>
    </w:p>
  </w:endnote>
  <w:endnote w:id="189">
    <w:p w14:paraId="7AB95759"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“The </w:t>
      </w:r>
      <w:proofErr w:type="spellStart"/>
      <w:r w:rsidRPr="001D23E0">
        <w:rPr>
          <w:color w:val="4C4C4C" w:themeColor="text2"/>
          <w:sz w:val="16"/>
          <w:szCs w:val="16"/>
        </w:rPr>
        <w:t>EmPOWERED</w:t>
      </w:r>
      <w:proofErr w:type="spellEnd"/>
      <w:r w:rsidRPr="001D23E0">
        <w:rPr>
          <w:color w:val="4C4C4C" w:themeColor="text2"/>
          <w:sz w:val="16"/>
          <w:szCs w:val="16"/>
        </w:rPr>
        <w:t xml:space="preserve"> Consumer: How Consumer Access to Energy Data can Help Solve our Biggest Energy Challenge,” </w:t>
      </w:r>
      <w:proofErr w:type="spellStart"/>
      <w:r w:rsidRPr="001D23E0">
        <w:rPr>
          <w:color w:val="4C4C4C" w:themeColor="text2"/>
          <w:sz w:val="16"/>
          <w:szCs w:val="16"/>
        </w:rPr>
        <w:t>Mission:data</w:t>
      </w:r>
      <w:proofErr w:type="spellEnd"/>
      <w:r w:rsidRPr="001D23E0">
        <w:rPr>
          <w:color w:val="4C4C4C" w:themeColor="text2"/>
          <w:sz w:val="16"/>
          <w:szCs w:val="16"/>
        </w:rPr>
        <w:t xml:space="preserve"> Coalition, December 2015, http://static1.squarespace.com/static/52d5c817e4b062861277ea97/t/56724a8269492e0c126d757b/1450330754632/EmPOWEREDConsumer_CaseStudy.pdf</w:t>
      </w:r>
    </w:p>
  </w:endnote>
  <w:endnote w:id="190">
    <w:p w14:paraId="3358F7FB"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“B3 Sustainable Building 2030 Standards,” Minnesota B3, April 12, 2016, </w:t>
      </w:r>
      <w:hyperlink r:id="rId138" w:history="1">
        <w:r w:rsidRPr="001D23E0">
          <w:rPr>
            <w:rStyle w:val="Hyperlink"/>
            <w:color w:val="4C4C4C" w:themeColor="text2"/>
            <w:sz w:val="16"/>
            <w:szCs w:val="16"/>
          </w:rPr>
          <w:t>http://www.b3mn.org/2030energystandard/</w:t>
        </w:r>
      </w:hyperlink>
      <w:r w:rsidRPr="001D23E0">
        <w:rPr>
          <w:color w:val="4C4C4C" w:themeColor="text2"/>
          <w:sz w:val="16"/>
          <w:szCs w:val="16"/>
        </w:rPr>
        <w:t xml:space="preserve">. </w:t>
      </w:r>
    </w:p>
  </w:endnote>
  <w:endnote w:id="191">
    <w:p w14:paraId="772E1B64"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“47.190.- Commercial building rating and disclosure,” City of Minneapolis, Minnesota, 2016, </w:t>
      </w:r>
      <w:hyperlink r:id="rId139" w:history="1">
        <w:r w:rsidRPr="001D23E0">
          <w:rPr>
            <w:rStyle w:val="Hyperlink"/>
            <w:rFonts w:cs="Lucida Grande"/>
            <w:color w:val="4C4C4C" w:themeColor="text2"/>
            <w:sz w:val="16"/>
            <w:szCs w:val="16"/>
          </w:rPr>
          <w:t>https://www.municode.com/library/mn/minneapolis/codes/code_of_ordinances?nodeId=COOR_TIT3AIPOENPR_CH47ENAIPO_47.190COBURADI</w:t>
        </w:r>
      </w:hyperlink>
      <w:r w:rsidRPr="001D23E0">
        <w:rPr>
          <w:rFonts w:cs="Lucida Grande"/>
          <w:color w:val="4C4C4C" w:themeColor="text2"/>
          <w:sz w:val="16"/>
          <w:szCs w:val="16"/>
        </w:rPr>
        <w:t xml:space="preserve"> </w:t>
      </w:r>
    </w:p>
  </w:endnote>
  <w:endnote w:id="192">
    <w:p w14:paraId="3EDDC8E9"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“MN ENERGY STAR® Challenge,” Minnesota ENERGY STAR® Challenge, accessed April 12, 2016, </w:t>
      </w:r>
      <w:hyperlink r:id="rId140" w:history="1">
        <w:r w:rsidRPr="001D23E0">
          <w:rPr>
            <w:rStyle w:val="Hyperlink"/>
            <w:rFonts w:cs="Lucida Grande"/>
            <w:color w:val="4C4C4C" w:themeColor="text2"/>
            <w:sz w:val="16"/>
            <w:szCs w:val="16"/>
          </w:rPr>
          <w:t>http://mnenergystarchallenge.com/</w:t>
        </w:r>
      </w:hyperlink>
      <w:r w:rsidRPr="001D23E0">
        <w:rPr>
          <w:rFonts w:cs="Lucida Grande"/>
          <w:color w:val="4C4C4C" w:themeColor="text2"/>
          <w:sz w:val="16"/>
          <w:szCs w:val="16"/>
        </w:rPr>
        <w:t xml:space="preserve"> </w:t>
      </w:r>
    </w:p>
  </w:endnote>
  <w:endnote w:id="193">
    <w:p w14:paraId="5D71569A"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“Notice of Comment Period on Customer Data Privacy, </w:t>
      </w:r>
      <w:proofErr w:type="spellStart"/>
      <w:r w:rsidRPr="001D23E0">
        <w:rPr>
          <w:color w:val="4C4C4C" w:themeColor="text2"/>
          <w:sz w:val="16"/>
          <w:szCs w:val="16"/>
        </w:rPr>
        <w:t>Sate</w:t>
      </w:r>
      <w:proofErr w:type="spellEnd"/>
      <w:r w:rsidRPr="001D23E0">
        <w:rPr>
          <w:color w:val="4C4C4C" w:themeColor="text2"/>
          <w:sz w:val="16"/>
          <w:szCs w:val="16"/>
        </w:rPr>
        <w:t xml:space="preserve"> of Minnesota Public Utilities Commission, Docket number E,G-999/CI-12-1344, January 8, 2013, </w:t>
      </w:r>
      <w:hyperlink r:id="rId141" w:history="1">
        <w:r w:rsidRPr="001D23E0">
          <w:rPr>
            <w:rStyle w:val="Hyperlink"/>
            <w:color w:val="4C4C4C" w:themeColor="text2"/>
            <w:sz w:val="16"/>
            <w:szCs w:val="16"/>
          </w:rPr>
          <w:t>https://www.edockets.state.mn.us/EFiling/edockets/searchDocuments.do?method=showPoup&amp;documentId={20B55EFE-85CD-4A4A-9AEA-7DA781BA691A}&amp;documentTitle=20131-82520-01</w:t>
        </w:r>
      </w:hyperlink>
      <w:r w:rsidRPr="001D23E0">
        <w:rPr>
          <w:color w:val="4C4C4C" w:themeColor="text2"/>
          <w:sz w:val="16"/>
          <w:szCs w:val="16"/>
        </w:rPr>
        <w:t xml:space="preserve"> </w:t>
      </w:r>
    </w:p>
  </w:endnote>
  <w:endnote w:id="194">
    <w:p w14:paraId="6014487B"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“Energy Data Access,” American Council for an Energy-Efficient Economy, July 2015, </w:t>
      </w:r>
      <w:hyperlink r:id="rId142" w:history="1">
        <w:r w:rsidRPr="001D23E0">
          <w:rPr>
            <w:rStyle w:val="Hyperlink"/>
            <w:color w:val="4C4C4C" w:themeColor="text2"/>
            <w:sz w:val="16"/>
            <w:szCs w:val="16"/>
          </w:rPr>
          <w:t>http://database.aceee.org/city/energy-data-access</w:t>
        </w:r>
      </w:hyperlink>
      <w:r w:rsidRPr="001D23E0">
        <w:rPr>
          <w:color w:val="4C4C4C" w:themeColor="text2"/>
          <w:sz w:val="16"/>
          <w:szCs w:val="16"/>
        </w:rPr>
        <w:t xml:space="preserve"> and http://www1.eere.energy.gov/buildings/betterbuildings/accelerators/energy.html</w:t>
      </w:r>
    </w:p>
  </w:endnote>
  <w:endnote w:id="195">
    <w:p w14:paraId="052D7E2A"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“Energy Data,” Better Buildings, U.S. Department of Energy, accessed April 12, 2016, </w:t>
      </w:r>
      <w:hyperlink r:id="rId143" w:history="1">
        <w:r w:rsidRPr="001D23E0">
          <w:rPr>
            <w:rStyle w:val="Hyperlink"/>
            <w:color w:val="4C4C4C" w:themeColor="text2"/>
            <w:sz w:val="16"/>
            <w:szCs w:val="16"/>
          </w:rPr>
          <w:t>http://www1.eere.energy.gov/buildings/betterbuildings/accelerators/energy.html</w:t>
        </w:r>
      </w:hyperlink>
      <w:r w:rsidRPr="001D23E0">
        <w:rPr>
          <w:color w:val="4C4C4C" w:themeColor="text2"/>
          <w:sz w:val="16"/>
          <w:szCs w:val="16"/>
        </w:rPr>
        <w:t xml:space="preserve"> </w:t>
      </w:r>
    </w:p>
  </w:endnote>
  <w:endnote w:id="196">
    <w:p w14:paraId="3D4DBED1" w14:textId="77777777" w:rsidR="006506BB" w:rsidRPr="001D23E0" w:rsidRDefault="006506BB" w:rsidP="00164A5A">
      <w:pPr>
        <w:rPr>
          <w:rFonts w:eastAsia="Times New Roman" w:cs="Times New Roman"/>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“RE: </w:t>
      </w:r>
      <w:r w:rsidRPr="001D23E0">
        <w:rPr>
          <w:rFonts w:eastAsia="Times New Roman" w:cs="Times New Roman"/>
          <w:color w:val="4C4C4C" w:themeColor="text2"/>
          <w:sz w:val="16"/>
          <w:szCs w:val="16"/>
        </w:rPr>
        <w:t>Program Modification Request 2013-2015 Electric and Natural Gas CIP Triennial Plan 2016 Electric and Natural Gas CIP Extension Plan Docket No. E,G002/CIP-12-447,” Xcel Energy, October 15, 2015,</w:t>
      </w:r>
      <w:r w:rsidRPr="001D23E0">
        <w:rPr>
          <w:color w:val="4C4C4C" w:themeColor="text2"/>
          <w:sz w:val="16"/>
          <w:szCs w:val="16"/>
        </w:rPr>
        <w:t xml:space="preserve"> </w:t>
      </w:r>
      <w:hyperlink r:id="rId144" w:history="1">
        <w:r w:rsidRPr="001D23E0">
          <w:rPr>
            <w:rStyle w:val="Hyperlink"/>
            <w:color w:val="4C4C4C" w:themeColor="text2"/>
            <w:sz w:val="16"/>
            <w:szCs w:val="16"/>
          </w:rPr>
          <w:t>https://www.edockets.state.mn.us/EFiling/edockets/searchDocuments.do?method=showPoup&amp;documentId=%7B06E46F50-73D0-4323-BBE4-3444BB4CE133%7D&amp;documentTitle=201510-114859-01</w:t>
        </w:r>
      </w:hyperlink>
      <w:r w:rsidRPr="001D23E0">
        <w:rPr>
          <w:color w:val="4C4C4C" w:themeColor="text2"/>
          <w:sz w:val="16"/>
          <w:szCs w:val="16"/>
        </w:rPr>
        <w:t xml:space="preserve"> </w:t>
      </w:r>
    </w:p>
  </w:endnote>
  <w:endnote w:id="197">
    <w:p w14:paraId="6A9E1C2F" w14:textId="77777777" w:rsidR="006506BB" w:rsidRPr="001D23E0" w:rsidRDefault="006506BB" w:rsidP="00164A5A">
      <w:pPr>
        <w:rPr>
          <w:rFonts w:eastAsia="Times New Roman" w:cs="Times New Roman"/>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w:t>
      </w:r>
      <w:r w:rsidRPr="001D23E0">
        <w:rPr>
          <w:rFonts w:eastAsia="Times New Roman"/>
          <w:color w:val="4C4C4C" w:themeColor="text2"/>
          <w:sz w:val="16"/>
          <w:szCs w:val="16"/>
          <w:shd w:val="clear" w:color="auto" w:fill="FFFFFF"/>
        </w:rPr>
        <w:t>http://energy.gov/eere/buildings/building-energy-asset-score</w:t>
      </w:r>
      <w:r w:rsidRPr="001D23E0">
        <w:rPr>
          <w:color w:val="4C4C4C" w:themeColor="text2"/>
          <w:sz w:val="16"/>
          <w:szCs w:val="16"/>
        </w:rPr>
        <w:t xml:space="preserve"> “Building Energy Asset Score,” U.S. Department of Energy, accessed March 22, 2016, </w:t>
      </w:r>
      <w:hyperlink r:id="rId145" w:history="1">
        <w:r w:rsidRPr="001D23E0">
          <w:rPr>
            <w:rStyle w:val="Hyperlink"/>
            <w:rFonts w:eastAsia="Times New Roman"/>
            <w:color w:val="4C4C4C" w:themeColor="text2"/>
            <w:sz w:val="16"/>
            <w:szCs w:val="16"/>
            <w:shd w:val="clear" w:color="auto" w:fill="FFFFFF"/>
          </w:rPr>
          <w:t>http://energy.gov/eere/buildings/building-energy-asset-score</w:t>
        </w:r>
      </w:hyperlink>
      <w:r w:rsidRPr="001D23E0">
        <w:rPr>
          <w:rFonts w:eastAsia="Times New Roman"/>
          <w:color w:val="4C4C4C" w:themeColor="text2"/>
          <w:sz w:val="16"/>
          <w:szCs w:val="16"/>
          <w:shd w:val="clear" w:color="auto" w:fill="FFFFFF"/>
        </w:rPr>
        <w:t>.</w:t>
      </w:r>
    </w:p>
  </w:endnote>
  <w:endnote w:id="198">
    <w:p w14:paraId="4EAC231F"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Ken </w:t>
      </w:r>
      <w:proofErr w:type="spellStart"/>
      <w:r w:rsidRPr="001D23E0">
        <w:rPr>
          <w:color w:val="4C4C4C" w:themeColor="text2"/>
          <w:sz w:val="16"/>
          <w:szCs w:val="16"/>
        </w:rPr>
        <w:t>Kolkebeck</w:t>
      </w:r>
      <w:proofErr w:type="spellEnd"/>
      <w:r w:rsidRPr="001D23E0">
        <w:rPr>
          <w:color w:val="4C4C4C" w:themeColor="text2"/>
          <w:sz w:val="16"/>
          <w:szCs w:val="16"/>
        </w:rPr>
        <w:t xml:space="preserve">, “Operational Efficiency: A Hidden Efficiency Opportunity for Commercial Buildings,” </w:t>
      </w:r>
      <w:proofErr w:type="spellStart"/>
      <w:r w:rsidRPr="001D23E0">
        <w:rPr>
          <w:color w:val="4C4C4C" w:themeColor="text2"/>
          <w:sz w:val="16"/>
          <w:szCs w:val="16"/>
        </w:rPr>
        <w:t>Greentech</w:t>
      </w:r>
      <w:proofErr w:type="spellEnd"/>
      <w:r w:rsidRPr="001D23E0">
        <w:rPr>
          <w:color w:val="4C4C4C" w:themeColor="text2"/>
          <w:sz w:val="16"/>
          <w:szCs w:val="16"/>
        </w:rPr>
        <w:t xml:space="preserve"> </w:t>
      </w:r>
      <w:proofErr w:type="spellStart"/>
      <w:r w:rsidRPr="001D23E0">
        <w:rPr>
          <w:color w:val="4C4C4C" w:themeColor="text2"/>
          <w:sz w:val="16"/>
          <w:szCs w:val="16"/>
        </w:rPr>
        <w:t>Media,May</w:t>
      </w:r>
      <w:proofErr w:type="spellEnd"/>
      <w:r w:rsidRPr="001D23E0">
        <w:rPr>
          <w:color w:val="4C4C4C" w:themeColor="text2"/>
          <w:sz w:val="16"/>
          <w:szCs w:val="16"/>
        </w:rPr>
        <w:t xml:space="preserve"> 7, 2012, </w:t>
      </w:r>
      <w:hyperlink r:id="rId146" w:history="1">
        <w:r w:rsidRPr="001D23E0">
          <w:rPr>
            <w:rStyle w:val="Hyperlink"/>
            <w:color w:val="4C4C4C" w:themeColor="text2"/>
            <w:sz w:val="16"/>
            <w:szCs w:val="16"/>
          </w:rPr>
          <w:t>http://www.greentechmedia.com/articles/read/Guest-Post-Operational-Efficiency-A-Hidden-Energy-Efficiency-Opportunity-</w:t>
        </w:r>
      </w:hyperlink>
      <w:r w:rsidRPr="001D23E0">
        <w:rPr>
          <w:rStyle w:val="Hyperlink"/>
          <w:color w:val="4C4C4C" w:themeColor="text2"/>
          <w:sz w:val="16"/>
          <w:szCs w:val="16"/>
        </w:rPr>
        <w:t xml:space="preserve">. </w:t>
      </w:r>
      <w:r w:rsidRPr="001D23E0">
        <w:rPr>
          <w:color w:val="4C4C4C" w:themeColor="text2"/>
          <w:sz w:val="16"/>
          <w:szCs w:val="16"/>
        </w:rPr>
        <w:t xml:space="preserve"> </w:t>
      </w:r>
    </w:p>
  </w:endnote>
  <w:endnote w:id="199">
    <w:p w14:paraId="3CCC3341"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w:t>
      </w:r>
      <w:r w:rsidRPr="001D23E0">
        <w:rPr>
          <w:rFonts w:eastAsia="Times New Roman"/>
          <w:color w:val="4C4C4C" w:themeColor="text2"/>
          <w:sz w:val="16"/>
          <w:szCs w:val="16"/>
          <w:shd w:val="clear" w:color="auto" w:fill="FFFFFF"/>
        </w:rPr>
        <w:t>Evan</w:t>
      </w:r>
      <w:r w:rsidRPr="001D23E0">
        <w:rPr>
          <w:rStyle w:val="CommentReference"/>
          <w:color w:val="4C4C4C" w:themeColor="text2"/>
          <w:sz w:val="16"/>
          <w:szCs w:val="16"/>
        </w:rPr>
        <w:t/>
      </w:r>
      <w:r w:rsidRPr="001D23E0">
        <w:rPr>
          <w:color w:val="4C4C4C" w:themeColor="text2"/>
          <w:sz w:val="16"/>
          <w:szCs w:val="16"/>
          <w:shd w:val="clear" w:color="auto" w:fill="FFFFFF"/>
        </w:rPr>
        <w:t xml:space="preserve"> Mills</w:t>
      </w:r>
      <w:r w:rsidRPr="001D23E0">
        <w:rPr>
          <w:rStyle w:val="CommentReference"/>
          <w:color w:val="4C4C4C" w:themeColor="text2"/>
          <w:sz w:val="16"/>
          <w:szCs w:val="16"/>
        </w:rPr>
        <w:t/>
      </w:r>
      <w:r w:rsidRPr="001D23E0">
        <w:rPr>
          <w:rFonts w:eastAsia="Times New Roman"/>
          <w:color w:val="4C4C4C" w:themeColor="text2"/>
          <w:sz w:val="16"/>
          <w:szCs w:val="16"/>
          <w:shd w:val="clear" w:color="auto" w:fill="FFFFFF"/>
        </w:rPr>
        <w:t xml:space="preserve">, Hannah Friedman, </w:t>
      </w:r>
      <w:proofErr w:type="spellStart"/>
      <w:r w:rsidRPr="001D23E0">
        <w:rPr>
          <w:rFonts w:eastAsia="Times New Roman"/>
          <w:color w:val="4C4C4C" w:themeColor="text2"/>
          <w:sz w:val="16"/>
          <w:szCs w:val="16"/>
          <w:shd w:val="clear" w:color="auto" w:fill="FFFFFF"/>
        </w:rPr>
        <w:t>Tehesia</w:t>
      </w:r>
      <w:proofErr w:type="spellEnd"/>
      <w:r w:rsidRPr="001D23E0">
        <w:rPr>
          <w:rFonts w:eastAsia="Times New Roman"/>
          <w:color w:val="4C4C4C" w:themeColor="text2"/>
          <w:sz w:val="16"/>
          <w:szCs w:val="16"/>
          <w:shd w:val="clear" w:color="auto" w:fill="FFFFFF"/>
        </w:rPr>
        <w:t xml:space="preserve"> Powell, Norman Bourassa, David </w:t>
      </w:r>
      <w:proofErr w:type="spellStart"/>
      <w:r w:rsidRPr="001D23E0">
        <w:rPr>
          <w:rFonts w:eastAsia="Times New Roman"/>
          <w:color w:val="4C4C4C" w:themeColor="text2"/>
          <w:sz w:val="16"/>
          <w:szCs w:val="16"/>
          <w:shd w:val="clear" w:color="auto" w:fill="FFFFFF"/>
        </w:rPr>
        <w:t>Claridge</w:t>
      </w:r>
      <w:proofErr w:type="spellEnd"/>
      <w:r w:rsidRPr="001D23E0">
        <w:rPr>
          <w:rFonts w:eastAsia="Times New Roman"/>
          <w:color w:val="4C4C4C" w:themeColor="text2"/>
          <w:sz w:val="16"/>
          <w:szCs w:val="16"/>
          <w:shd w:val="clear" w:color="auto" w:fill="FFFFFF"/>
        </w:rPr>
        <w:t xml:space="preserve">, </w:t>
      </w:r>
      <w:proofErr w:type="spellStart"/>
      <w:r w:rsidRPr="001D23E0">
        <w:rPr>
          <w:rFonts w:eastAsia="Times New Roman"/>
          <w:color w:val="4C4C4C" w:themeColor="text2"/>
          <w:sz w:val="16"/>
          <w:szCs w:val="16"/>
          <w:shd w:val="clear" w:color="auto" w:fill="FFFFFF"/>
        </w:rPr>
        <w:t>Tudi</w:t>
      </w:r>
      <w:proofErr w:type="spellEnd"/>
      <w:r w:rsidRPr="001D23E0">
        <w:rPr>
          <w:rFonts w:eastAsia="Times New Roman"/>
          <w:color w:val="4C4C4C" w:themeColor="text2"/>
          <w:sz w:val="16"/>
          <w:szCs w:val="16"/>
          <w:shd w:val="clear" w:color="auto" w:fill="FFFFFF"/>
        </w:rPr>
        <w:t xml:space="preserve"> </w:t>
      </w:r>
      <w:proofErr w:type="spellStart"/>
      <w:r w:rsidRPr="001D23E0">
        <w:rPr>
          <w:rFonts w:eastAsia="Times New Roman"/>
          <w:color w:val="4C4C4C" w:themeColor="text2"/>
          <w:sz w:val="16"/>
          <w:szCs w:val="16"/>
          <w:shd w:val="clear" w:color="auto" w:fill="FFFFFF"/>
        </w:rPr>
        <w:t>Haasl</w:t>
      </w:r>
      <w:proofErr w:type="spellEnd"/>
      <w:r w:rsidRPr="001D23E0">
        <w:rPr>
          <w:rFonts w:eastAsia="Times New Roman"/>
          <w:color w:val="4C4C4C" w:themeColor="text2"/>
          <w:sz w:val="16"/>
          <w:szCs w:val="16"/>
          <w:shd w:val="clear" w:color="auto" w:fill="FFFFFF"/>
        </w:rPr>
        <w:t xml:space="preserve">, and Mary Ann </w:t>
      </w:r>
      <w:proofErr w:type="spellStart"/>
      <w:r w:rsidRPr="001D23E0">
        <w:rPr>
          <w:rFonts w:eastAsia="Times New Roman"/>
          <w:color w:val="4C4C4C" w:themeColor="text2"/>
          <w:sz w:val="16"/>
          <w:szCs w:val="16"/>
          <w:shd w:val="clear" w:color="auto" w:fill="FFFFFF"/>
        </w:rPr>
        <w:t>Piette</w:t>
      </w:r>
      <w:proofErr w:type="spellEnd"/>
      <w:r w:rsidRPr="001D23E0">
        <w:rPr>
          <w:rFonts w:eastAsia="Times New Roman"/>
          <w:color w:val="4C4C4C" w:themeColor="text2"/>
          <w:sz w:val="16"/>
          <w:szCs w:val="16"/>
          <w:shd w:val="clear" w:color="auto" w:fill="FFFFFF"/>
        </w:rPr>
        <w:t xml:space="preserve">, “The Cost-Effectiveness of Commercial-Buildings Commissioning: A Meta-Analysis of Energy and Non-Energy Impact in Existing Buildings and New Construction in the United States” Lawrence Berkeley National Laboratory, December 15, 2004, </w:t>
      </w:r>
      <w:hyperlink r:id="rId147" w:history="1">
        <w:r w:rsidRPr="001D23E0">
          <w:rPr>
            <w:rStyle w:val="Hyperlink"/>
            <w:rFonts w:eastAsia="Times New Roman"/>
            <w:color w:val="4C4C4C" w:themeColor="text2"/>
            <w:sz w:val="16"/>
            <w:szCs w:val="16"/>
            <w:shd w:val="clear" w:color="auto" w:fill="FFFFFF"/>
          </w:rPr>
          <w:t>http://evanmills.lbl.gov/pubs/pdf/cx-costs-benefits.pdf</w:t>
        </w:r>
      </w:hyperlink>
      <w:r w:rsidRPr="001D23E0">
        <w:rPr>
          <w:rFonts w:eastAsia="Times New Roman"/>
          <w:color w:val="4C4C4C" w:themeColor="text2"/>
          <w:sz w:val="16"/>
          <w:szCs w:val="16"/>
          <w:shd w:val="clear" w:color="auto" w:fill="FFFFFF"/>
        </w:rPr>
        <w:t>.</w:t>
      </w:r>
    </w:p>
  </w:endnote>
  <w:endnote w:id="200">
    <w:p w14:paraId="00D71A09"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w:t>
      </w:r>
      <w:proofErr w:type="spellStart"/>
      <w:r w:rsidRPr="001D23E0">
        <w:rPr>
          <w:rStyle w:val="Emphasis"/>
          <w:rFonts w:eastAsia="Times New Roman" w:cs="Arial"/>
          <w:color w:val="4C4C4C" w:themeColor="text2"/>
          <w:sz w:val="16"/>
          <w:szCs w:val="16"/>
          <w:shd w:val="clear" w:color="auto" w:fill="FFFFFF"/>
        </w:rPr>
        <w:t>Tudi</w:t>
      </w:r>
      <w:proofErr w:type="spellEnd"/>
      <w:r w:rsidRPr="001D23E0">
        <w:rPr>
          <w:rStyle w:val="Emphasis"/>
          <w:rFonts w:eastAsia="Times New Roman" w:cs="Arial"/>
          <w:color w:val="4C4C4C" w:themeColor="text2"/>
          <w:sz w:val="16"/>
          <w:szCs w:val="16"/>
          <w:shd w:val="clear" w:color="auto" w:fill="FFFFFF"/>
        </w:rPr>
        <w:t xml:space="preserve"> </w:t>
      </w:r>
      <w:proofErr w:type="spellStart"/>
      <w:r w:rsidRPr="001D23E0">
        <w:rPr>
          <w:rStyle w:val="Emphasis"/>
          <w:rFonts w:eastAsia="Times New Roman" w:cs="Arial"/>
          <w:color w:val="4C4C4C" w:themeColor="text2"/>
          <w:sz w:val="16"/>
          <w:szCs w:val="16"/>
          <w:shd w:val="clear" w:color="auto" w:fill="FFFFFF"/>
        </w:rPr>
        <w:t>Haasl</w:t>
      </w:r>
      <w:proofErr w:type="spellEnd"/>
      <w:r w:rsidRPr="001D23E0">
        <w:rPr>
          <w:rStyle w:val="Emphasis"/>
          <w:rFonts w:eastAsia="Times New Roman" w:cs="Arial"/>
          <w:color w:val="4C4C4C" w:themeColor="text2"/>
          <w:sz w:val="16"/>
          <w:szCs w:val="16"/>
          <w:shd w:val="clear" w:color="auto" w:fill="FFFFFF"/>
        </w:rPr>
        <w:t xml:space="preserve"> and Kristin </w:t>
      </w:r>
      <w:proofErr w:type="spellStart"/>
      <w:r w:rsidRPr="001D23E0">
        <w:rPr>
          <w:rStyle w:val="Emphasis"/>
          <w:rFonts w:eastAsia="Times New Roman" w:cs="Arial"/>
          <w:color w:val="4C4C4C" w:themeColor="text2"/>
          <w:sz w:val="16"/>
          <w:szCs w:val="16"/>
          <w:shd w:val="clear" w:color="auto" w:fill="FFFFFF"/>
        </w:rPr>
        <w:t>Heinemeier</w:t>
      </w:r>
      <w:proofErr w:type="spellEnd"/>
      <w:r w:rsidRPr="001D23E0">
        <w:rPr>
          <w:rStyle w:val="Emphasis"/>
          <w:rFonts w:eastAsia="Times New Roman" w:cs="Arial"/>
          <w:color w:val="4C4C4C" w:themeColor="text2"/>
          <w:sz w:val="16"/>
          <w:szCs w:val="16"/>
          <w:shd w:val="clear" w:color="auto" w:fill="FFFFFF"/>
        </w:rPr>
        <w:t>, California Commissioning Guide: Existing Buildings</w:t>
      </w:r>
      <w:r w:rsidRPr="001D23E0">
        <w:rPr>
          <w:rFonts w:eastAsia="Times New Roman"/>
          <w:color w:val="4C4C4C" w:themeColor="text2"/>
          <w:sz w:val="16"/>
          <w:szCs w:val="16"/>
          <w:shd w:val="clear" w:color="auto" w:fill="FFFFFF"/>
        </w:rPr>
        <w:t xml:space="preserve">, 2006, California Commissioning Collaborative, </w:t>
      </w:r>
      <w:hyperlink r:id="rId148" w:history="1">
        <w:r w:rsidRPr="001D23E0">
          <w:rPr>
            <w:rStyle w:val="Hyperlink"/>
            <w:color w:val="4C4C4C" w:themeColor="text2"/>
            <w:sz w:val="16"/>
            <w:szCs w:val="16"/>
          </w:rPr>
          <w:t>http://www.cacx.org/resources/documents/CA_Commissioning_Guide_Existing.pdf</w:t>
        </w:r>
      </w:hyperlink>
      <w:r w:rsidRPr="001D23E0">
        <w:rPr>
          <w:color w:val="4C4C4C" w:themeColor="text2"/>
          <w:sz w:val="16"/>
          <w:szCs w:val="16"/>
        </w:rPr>
        <w:t xml:space="preserve"> </w:t>
      </w:r>
    </w:p>
  </w:endnote>
  <w:endnote w:id="201">
    <w:p w14:paraId="570E8171"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w:t>
      </w:r>
      <w:r w:rsidRPr="001D23E0">
        <w:rPr>
          <w:rFonts w:eastAsia="Times New Roman" w:cs="Times New Roman"/>
          <w:color w:val="4C4C4C" w:themeColor="text2"/>
          <w:sz w:val="16"/>
          <w:szCs w:val="16"/>
        </w:rPr>
        <w:t>Laurie A. Gilmer, “</w:t>
      </w:r>
      <w:proofErr w:type="spellStart"/>
      <w:r w:rsidRPr="001D23E0">
        <w:rPr>
          <w:rFonts w:eastAsia="Times New Roman" w:cs="Times New Roman"/>
          <w:color w:val="4C4C4C" w:themeColor="text2"/>
          <w:sz w:val="16"/>
          <w:szCs w:val="16"/>
        </w:rPr>
        <w:t>Retrocommissioning</w:t>
      </w:r>
      <w:proofErr w:type="spellEnd"/>
      <w:r w:rsidRPr="001D23E0">
        <w:rPr>
          <w:rFonts w:eastAsia="Times New Roman" w:cs="Times New Roman"/>
          <w:color w:val="4C4C4C" w:themeColor="text2"/>
          <w:sz w:val="16"/>
          <w:szCs w:val="16"/>
        </w:rPr>
        <w:t xml:space="preserve">,” </w:t>
      </w:r>
      <w:proofErr w:type="spellStart"/>
      <w:r w:rsidRPr="001D23E0">
        <w:rPr>
          <w:rFonts w:eastAsia="Times New Roman" w:cs="Times New Roman"/>
          <w:color w:val="4C4C4C" w:themeColor="text2"/>
          <w:sz w:val="16"/>
          <w:szCs w:val="16"/>
        </w:rPr>
        <w:t>Facilitiesnet</w:t>
      </w:r>
      <w:proofErr w:type="spellEnd"/>
      <w:r w:rsidRPr="001D23E0">
        <w:rPr>
          <w:rFonts w:eastAsia="Times New Roman" w:cs="Times New Roman"/>
          <w:color w:val="4C4C4C" w:themeColor="text2"/>
          <w:sz w:val="16"/>
          <w:szCs w:val="16"/>
        </w:rPr>
        <w:t>, March 2006,</w:t>
      </w:r>
      <w:r w:rsidRPr="001D23E0">
        <w:rPr>
          <w:rFonts w:eastAsia="Times New Roman"/>
          <w:color w:val="4C4C4C" w:themeColor="text2"/>
          <w:sz w:val="16"/>
          <w:szCs w:val="16"/>
        </w:rPr>
        <w:br/>
      </w:r>
      <w:hyperlink r:id="rId149" w:history="1">
        <w:r w:rsidRPr="001D23E0">
          <w:rPr>
            <w:rStyle w:val="Hyperlink"/>
            <w:rFonts w:eastAsia="Times New Roman" w:cs="Arial"/>
            <w:color w:val="4C4C4C" w:themeColor="text2"/>
            <w:sz w:val="16"/>
            <w:szCs w:val="16"/>
            <w:shd w:val="clear" w:color="auto" w:fill="FFFFFF"/>
          </w:rPr>
          <w:t>http://www.facilitiesnet.com/energyefficiency/article/Retrocommissioning--4126</w:t>
        </w:r>
      </w:hyperlink>
      <w:r w:rsidRPr="001D23E0">
        <w:rPr>
          <w:rStyle w:val="Hyperlink"/>
          <w:rFonts w:eastAsia="Times New Roman" w:cs="Arial"/>
          <w:color w:val="4C4C4C" w:themeColor="text2"/>
          <w:sz w:val="16"/>
          <w:szCs w:val="16"/>
          <w:shd w:val="clear" w:color="auto" w:fill="FFFFFF"/>
        </w:rPr>
        <w:t xml:space="preserve">. </w:t>
      </w:r>
    </w:p>
  </w:endnote>
  <w:endnote w:id="202">
    <w:p w14:paraId="3131035E" w14:textId="065478FD" w:rsidR="006506BB" w:rsidRPr="001D23E0" w:rsidRDefault="006506BB" w:rsidP="001D23E0">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https://weatherbughome.com/honeywell/</w:t>
      </w:r>
    </w:p>
  </w:endnote>
  <w:endnote w:id="203">
    <w:p w14:paraId="2500AC64" w14:textId="7CF6357D" w:rsidR="006506BB" w:rsidRPr="00BD1650" w:rsidRDefault="006506BB">
      <w:pPr>
        <w:pStyle w:val="EndnoteText"/>
        <w:rPr>
          <w:sz w:val="16"/>
          <w:szCs w:val="16"/>
        </w:rPr>
      </w:pPr>
      <w:r w:rsidRPr="00BD1650">
        <w:rPr>
          <w:rStyle w:val="EndnoteReference"/>
          <w:sz w:val="16"/>
          <w:szCs w:val="16"/>
        </w:rPr>
        <w:endnoteRef/>
      </w:r>
      <w:r w:rsidRPr="00BD1650">
        <w:rPr>
          <w:sz w:val="16"/>
          <w:szCs w:val="16"/>
        </w:rPr>
        <w:t xml:space="preserve"> </w:t>
      </w:r>
      <w:r>
        <w:rPr>
          <w:sz w:val="16"/>
          <w:szCs w:val="16"/>
        </w:rPr>
        <w:t>“</w:t>
      </w:r>
      <w:r w:rsidRPr="00BD1650">
        <w:rPr>
          <w:sz w:val="16"/>
          <w:szCs w:val="16"/>
        </w:rPr>
        <w:t>Solar Panels + LED Lights = Near-Zero Energy Consumption</w:t>
      </w:r>
      <w:r>
        <w:rPr>
          <w:sz w:val="16"/>
          <w:szCs w:val="16"/>
        </w:rPr>
        <w:t xml:space="preserve">,” AirportImprovement.com, 2016, </w:t>
      </w:r>
      <w:hyperlink r:id="rId150" w:history="1">
        <w:r w:rsidRPr="00D86725">
          <w:rPr>
            <w:rStyle w:val="Hyperlink"/>
            <w:sz w:val="16"/>
            <w:szCs w:val="16"/>
          </w:rPr>
          <w:t>http://www.ameresco.com/sites/default/files/sm_reprint_airportimprovement_magazine.pdf</w:t>
        </w:r>
      </w:hyperlink>
      <w:r>
        <w:rPr>
          <w:sz w:val="16"/>
          <w:szCs w:val="16"/>
        </w:rPr>
        <w:t xml:space="preserve"> </w:t>
      </w:r>
    </w:p>
  </w:endnote>
  <w:endnote w:id="204">
    <w:p w14:paraId="405B00D8"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“Project and Technical Assistance,” Minnesota Department of Commerce, accessed April 12, 2016, </w:t>
      </w:r>
      <w:hyperlink r:id="rId151" w:history="1">
        <w:r w:rsidRPr="001D23E0">
          <w:rPr>
            <w:rStyle w:val="Hyperlink"/>
            <w:color w:val="4C4C4C" w:themeColor="text2"/>
            <w:sz w:val="16"/>
            <w:szCs w:val="16"/>
          </w:rPr>
          <w:t>https://mn.gov/commerce/industries/energy/technical-assistance/</w:t>
        </w:r>
      </w:hyperlink>
      <w:r w:rsidRPr="001D23E0">
        <w:rPr>
          <w:color w:val="4C4C4C" w:themeColor="text2"/>
          <w:sz w:val="16"/>
          <w:szCs w:val="16"/>
        </w:rPr>
        <w:t xml:space="preserve"> </w:t>
      </w:r>
    </w:p>
  </w:endnote>
  <w:endnote w:id="205">
    <w:p w14:paraId="7E3C342F"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“Energy Efficient Operations Manual,” Minnesota B3, April 12, 2016, </w:t>
      </w:r>
      <w:hyperlink r:id="rId152" w:history="1">
        <w:r w:rsidRPr="001D23E0">
          <w:rPr>
            <w:rStyle w:val="Hyperlink"/>
            <w:rFonts w:cs="Lucida Grande"/>
            <w:color w:val="4C4C4C" w:themeColor="text2"/>
            <w:sz w:val="16"/>
            <w:szCs w:val="16"/>
          </w:rPr>
          <w:t>http://www.b3mn.org/operations/</w:t>
        </w:r>
      </w:hyperlink>
      <w:r w:rsidRPr="001D23E0">
        <w:rPr>
          <w:rFonts w:cs="Lucida Grande"/>
          <w:color w:val="4C4C4C" w:themeColor="text2"/>
          <w:sz w:val="16"/>
          <w:szCs w:val="16"/>
        </w:rPr>
        <w:t xml:space="preserve"> </w:t>
      </w:r>
    </w:p>
  </w:endnote>
  <w:endnote w:id="206">
    <w:p w14:paraId="66AAE77B"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“Behavior-based Energy Efficiency,” State and Local Energy Efficiency Action Network, accessed March 22, 2016, </w:t>
      </w:r>
      <w:hyperlink r:id="rId153" w:history="1">
        <w:r w:rsidRPr="001D23E0">
          <w:rPr>
            <w:rStyle w:val="Hyperlink"/>
            <w:color w:val="4C4C4C" w:themeColor="text2"/>
            <w:sz w:val="16"/>
            <w:szCs w:val="16"/>
          </w:rPr>
          <w:t>https://www4.eere.energy.gov/seeaction/topic-category/behavior-based-energy-efficiency</w:t>
        </w:r>
      </w:hyperlink>
      <w:r w:rsidRPr="001D23E0">
        <w:rPr>
          <w:color w:val="4C4C4C" w:themeColor="text2"/>
          <w:sz w:val="16"/>
          <w:szCs w:val="16"/>
        </w:rPr>
        <w:t>.</w:t>
      </w:r>
    </w:p>
  </w:endnote>
  <w:endnote w:id="207">
    <w:p w14:paraId="457F55FD"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Tracked as of 2015 in “Energy Efficiency Behavioral Programs: Literature Review, Benchmarking Analysis, and Evaluation Guidelines”</w:t>
      </w:r>
    </w:p>
  </w:endnote>
  <w:endnote w:id="208">
    <w:p w14:paraId="4112B1DD"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Anne Dougherty, Courtney Henderson, Amanda </w:t>
      </w:r>
      <w:proofErr w:type="spellStart"/>
      <w:r w:rsidRPr="001D23E0">
        <w:rPr>
          <w:color w:val="4C4C4C" w:themeColor="text2"/>
          <w:sz w:val="16"/>
          <w:szCs w:val="16"/>
        </w:rPr>
        <w:t>Dwelley</w:t>
      </w:r>
      <w:proofErr w:type="spellEnd"/>
      <w:r w:rsidRPr="001D23E0">
        <w:rPr>
          <w:color w:val="4C4C4C" w:themeColor="text2"/>
          <w:sz w:val="16"/>
          <w:szCs w:val="16"/>
        </w:rPr>
        <w:t xml:space="preserve">, </w:t>
      </w:r>
      <w:proofErr w:type="spellStart"/>
      <w:r w:rsidRPr="001D23E0">
        <w:rPr>
          <w:color w:val="4C4C4C" w:themeColor="text2"/>
          <w:sz w:val="16"/>
          <w:szCs w:val="16"/>
        </w:rPr>
        <w:t>Mallika</w:t>
      </w:r>
      <w:proofErr w:type="spellEnd"/>
      <w:r w:rsidRPr="001D23E0">
        <w:rPr>
          <w:color w:val="4C4C4C" w:themeColor="text2"/>
          <w:sz w:val="16"/>
          <w:szCs w:val="16"/>
        </w:rPr>
        <w:t xml:space="preserve"> </w:t>
      </w:r>
      <w:proofErr w:type="spellStart"/>
      <w:r w:rsidRPr="001D23E0">
        <w:rPr>
          <w:color w:val="4C4C4C" w:themeColor="text2"/>
          <w:sz w:val="16"/>
          <w:szCs w:val="16"/>
        </w:rPr>
        <w:t>Jayaraman</w:t>
      </w:r>
      <w:proofErr w:type="spellEnd"/>
      <w:r w:rsidRPr="001D23E0">
        <w:rPr>
          <w:color w:val="4C4C4C" w:themeColor="text2"/>
          <w:sz w:val="16"/>
          <w:szCs w:val="16"/>
        </w:rPr>
        <w:t xml:space="preserve">, “Energy Efficiency Behavioral Programs: Literature Review, Benchmarking Analysis, and Evaluation Guidelines,” prepared by ILLUME Advising, LLC for Minnesota Department of Commerce, Division of Energy Resources,  May 4, 2015, </w:t>
      </w:r>
      <w:hyperlink r:id="rId154" w:history="1">
        <w:r w:rsidRPr="001D23E0">
          <w:rPr>
            <w:rStyle w:val="Hyperlink"/>
            <w:rFonts w:cs="Lucida Grande"/>
            <w:color w:val="4C4C4C" w:themeColor="text2"/>
            <w:sz w:val="16"/>
            <w:szCs w:val="16"/>
          </w:rPr>
          <w:t>https://www.cards.commerce.state.mn.us/CARDS/security/search.do?method=showPoup&amp;documentId=%7b971F1044-CF64-41EA-A714-7AEF32F2255B%7d&amp;documentTitle=213328&amp;documentType=6</w:t>
        </w:r>
      </w:hyperlink>
      <w:r w:rsidRPr="001D23E0">
        <w:rPr>
          <w:rFonts w:cs="Lucida Grande"/>
          <w:color w:val="4C4C4C" w:themeColor="text2"/>
          <w:sz w:val="16"/>
          <w:szCs w:val="16"/>
        </w:rPr>
        <w:t xml:space="preserve"> </w:t>
      </w:r>
    </w:p>
  </w:endnote>
  <w:endnote w:id="209">
    <w:p w14:paraId="053E34CB"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“Partners in Energy Community Program,” Xcel Energy, 2016, </w:t>
      </w:r>
      <w:hyperlink r:id="rId155" w:history="1">
        <w:r w:rsidRPr="001D23E0">
          <w:rPr>
            <w:rStyle w:val="Hyperlink"/>
            <w:rFonts w:cs="Lucida Grande"/>
            <w:color w:val="4C4C4C" w:themeColor="text2"/>
            <w:sz w:val="16"/>
            <w:szCs w:val="16"/>
          </w:rPr>
          <w:t>http://www.xcelenergy.com/Community/Community_Projects/Partners_In_Energy_Community_Programs</w:t>
        </w:r>
      </w:hyperlink>
      <w:r w:rsidRPr="001D23E0">
        <w:rPr>
          <w:rFonts w:cs="Lucida Grande"/>
          <w:color w:val="4C4C4C" w:themeColor="text2"/>
          <w:sz w:val="16"/>
          <w:szCs w:val="16"/>
        </w:rPr>
        <w:t xml:space="preserve"> </w:t>
      </w:r>
    </w:p>
  </w:endnote>
  <w:endnote w:id="210">
    <w:p w14:paraId="3E7C0A7E"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“Schools for Energy Efficiency (SEE) Program,” Sharing Environmental Education Knowledge, accessed April 12, 2016,,</w:t>
      </w:r>
      <w:hyperlink r:id="rId156" w:history="1">
        <w:r w:rsidRPr="001D23E0">
          <w:rPr>
            <w:rStyle w:val="Hyperlink"/>
            <w:color w:val="4C4C4C" w:themeColor="text2"/>
            <w:sz w:val="16"/>
            <w:szCs w:val="16"/>
          </w:rPr>
          <w:t>https://www.seek.state.mn.us/resource/schools-energy-efficiency-see-program</w:t>
        </w:r>
      </w:hyperlink>
      <w:r w:rsidRPr="001D23E0">
        <w:rPr>
          <w:color w:val="4C4C4C" w:themeColor="text2"/>
          <w:sz w:val="16"/>
          <w:szCs w:val="16"/>
        </w:rPr>
        <w:t xml:space="preserve"> </w:t>
      </w:r>
    </w:p>
  </w:endnote>
  <w:endnote w:id="211">
    <w:p w14:paraId="37AB46D6"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“MN ENERGY STAR® Challenge,” Minnesota ENERGY STAR® Challenge, accessed April 12, 2016, </w:t>
      </w:r>
      <w:hyperlink r:id="rId157" w:history="1">
        <w:r w:rsidRPr="001D23E0">
          <w:rPr>
            <w:rStyle w:val="Hyperlink"/>
            <w:rFonts w:cs="Lucida Grande"/>
            <w:color w:val="4C4C4C" w:themeColor="text2"/>
            <w:sz w:val="16"/>
            <w:szCs w:val="16"/>
          </w:rPr>
          <w:t>http://mnenergystarchallenge.com/</w:t>
        </w:r>
      </w:hyperlink>
    </w:p>
  </w:endnote>
  <w:endnote w:id="212">
    <w:p w14:paraId="40C94906"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“Beat the Peak Energy Challenge,” Minnesota Valley Electric Cooperative, 2016, </w:t>
      </w:r>
      <w:hyperlink r:id="rId158" w:history="1">
        <w:r w:rsidRPr="001D23E0">
          <w:rPr>
            <w:rStyle w:val="Hyperlink"/>
            <w:rFonts w:cs="Lucida Grande"/>
            <w:color w:val="4C4C4C" w:themeColor="text2"/>
            <w:sz w:val="16"/>
            <w:szCs w:val="16"/>
          </w:rPr>
          <w:t>http://www.mvec.net/community/challenge/</w:t>
        </w:r>
      </w:hyperlink>
      <w:r w:rsidRPr="001D23E0">
        <w:rPr>
          <w:rFonts w:cs="Lucida Grande"/>
          <w:color w:val="4C4C4C" w:themeColor="text2"/>
          <w:sz w:val="16"/>
          <w:szCs w:val="16"/>
        </w:rPr>
        <w:t xml:space="preserve"> </w:t>
      </w:r>
    </w:p>
  </w:endnote>
  <w:endnote w:id="213">
    <w:p w14:paraId="05033763"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“Georgetown University Energy Prize,” Georgetown University Energy Prize, 2016, </w:t>
      </w:r>
      <w:hyperlink r:id="rId159" w:history="1">
        <w:r w:rsidRPr="001D23E0">
          <w:rPr>
            <w:rStyle w:val="Hyperlink"/>
            <w:rFonts w:cs="Lucida Grande"/>
            <w:color w:val="4C4C4C" w:themeColor="text2"/>
            <w:sz w:val="16"/>
            <w:szCs w:val="16"/>
          </w:rPr>
          <w:t>https://guep.org/</w:t>
        </w:r>
      </w:hyperlink>
      <w:r w:rsidRPr="001D23E0">
        <w:rPr>
          <w:rFonts w:cs="Lucida Grande"/>
          <w:color w:val="4C4C4C" w:themeColor="text2"/>
          <w:sz w:val="16"/>
          <w:szCs w:val="16"/>
        </w:rPr>
        <w:t xml:space="preserve"> </w:t>
      </w:r>
    </w:p>
  </w:endnote>
  <w:endnote w:id="214">
    <w:p w14:paraId="67707A06"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w:t>
      </w:r>
      <w:hyperlink r:id="rId160" w:history="1">
        <w:r w:rsidRPr="001D23E0">
          <w:rPr>
            <w:rStyle w:val="Hyperlink"/>
            <w:color w:val="4C4C4C" w:themeColor="text2"/>
            <w:sz w:val="16"/>
            <w:szCs w:val="16"/>
          </w:rPr>
          <w:t>http://www.minnesotanationalguard.org/press_room/e-zine/articles/index.php?item=4738</w:t>
        </w:r>
      </w:hyperlink>
    </w:p>
  </w:endnote>
  <w:endnote w:id="215">
    <w:p w14:paraId="610626B2"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“Behavior-based Energy Efficiency,” State and Local Energy Efficiency Action Network, accessed March 22, 2016, </w:t>
      </w:r>
      <w:hyperlink r:id="rId161" w:history="1">
        <w:r w:rsidRPr="001D23E0">
          <w:rPr>
            <w:rStyle w:val="Hyperlink"/>
            <w:color w:val="4C4C4C" w:themeColor="text2"/>
            <w:sz w:val="16"/>
            <w:szCs w:val="16"/>
          </w:rPr>
          <w:t>https://www4.eere.energy.gov/seeaction/topic-category/behavior-based-energy-efficiency</w:t>
        </w:r>
      </w:hyperlink>
      <w:r w:rsidRPr="001D23E0">
        <w:rPr>
          <w:rFonts w:cs="Lucida Grande"/>
          <w:color w:val="4C4C4C" w:themeColor="text2"/>
          <w:sz w:val="16"/>
          <w:szCs w:val="16"/>
        </w:rPr>
        <w:t xml:space="preserve"> </w:t>
      </w:r>
      <w:r w:rsidRPr="001D23E0">
        <w:rPr>
          <w:color w:val="4C4C4C" w:themeColor="text2"/>
          <w:sz w:val="16"/>
          <w:szCs w:val="16"/>
        </w:rPr>
        <w:t>.</w:t>
      </w:r>
    </w:p>
  </w:endnote>
  <w:endnote w:id="216">
    <w:p w14:paraId="440777CB" w14:textId="77777777" w:rsidR="006506BB" w:rsidRPr="001D23E0" w:rsidRDefault="006506BB" w:rsidP="00164A5A">
      <w:pPr>
        <w:pStyle w:val="Normal2"/>
        <w:contextualSpacing/>
        <w:rPr>
          <w:rFonts w:ascii="Helvetica Neue" w:hAnsi="Helvetica Neue"/>
          <w:color w:val="4C4C4C" w:themeColor="text2"/>
          <w:sz w:val="16"/>
          <w:szCs w:val="16"/>
        </w:rPr>
      </w:pPr>
      <w:r w:rsidRPr="001D23E0">
        <w:rPr>
          <w:rStyle w:val="EndnoteReference"/>
          <w:rFonts w:ascii="Helvetica Neue" w:hAnsi="Helvetica Neue"/>
          <w:color w:val="4C4C4C" w:themeColor="text2"/>
          <w:sz w:val="16"/>
          <w:szCs w:val="16"/>
        </w:rPr>
        <w:endnoteRef/>
      </w:r>
      <w:r w:rsidRPr="001D23E0">
        <w:rPr>
          <w:rFonts w:ascii="Helvetica Neue" w:hAnsi="Helvetica Neue"/>
          <w:color w:val="4C4C4C" w:themeColor="text2"/>
          <w:sz w:val="16"/>
          <w:szCs w:val="16"/>
        </w:rPr>
        <w:t xml:space="preserve"> “MINDSPACE,” Institute for Government,  2016, </w:t>
      </w:r>
      <w:hyperlink r:id="rId162" w:history="1">
        <w:r w:rsidRPr="001D23E0">
          <w:rPr>
            <w:rStyle w:val="Hyperlink"/>
            <w:rFonts w:ascii="Helvetica Neue" w:hAnsi="Helvetica Neue"/>
            <w:color w:val="4C4C4C" w:themeColor="text2"/>
            <w:sz w:val="16"/>
            <w:szCs w:val="16"/>
          </w:rPr>
          <w:t>http://www.instituteforgovernment.org.uk/publications/mindspace</w:t>
        </w:r>
      </w:hyperlink>
    </w:p>
  </w:endnote>
  <w:endnote w:id="217">
    <w:p w14:paraId="6D8B8D9F"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“Tools of Change,” Jay Kassirer, 2016, </w:t>
      </w:r>
      <w:hyperlink r:id="rId163" w:history="1">
        <w:r w:rsidRPr="001D23E0">
          <w:rPr>
            <w:rStyle w:val="Hyperlink"/>
            <w:color w:val="4C4C4C" w:themeColor="text2"/>
            <w:sz w:val="16"/>
            <w:szCs w:val="16"/>
          </w:rPr>
          <w:t>http://www.toolsofchange.com/en/home/</w:t>
        </w:r>
      </w:hyperlink>
      <w:r w:rsidRPr="001D23E0">
        <w:rPr>
          <w:color w:val="4C4C4C" w:themeColor="text2"/>
          <w:sz w:val="16"/>
          <w:szCs w:val="16"/>
        </w:rPr>
        <w:t xml:space="preserve"> </w:t>
      </w:r>
    </w:p>
  </w:endnote>
  <w:endnote w:id="218">
    <w:p w14:paraId="1DC4F5AA" w14:textId="77777777" w:rsidR="006506BB" w:rsidRPr="001D23E0" w:rsidRDefault="006506BB" w:rsidP="00164A5A">
      <w:pPr>
        <w:pStyle w:val="Normal2"/>
        <w:contextualSpacing/>
        <w:rPr>
          <w:rFonts w:ascii="Helvetica Neue" w:hAnsi="Helvetica Neue"/>
          <w:color w:val="4C4C4C" w:themeColor="text2"/>
          <w:sz w:val="16"/>
          <w:szCs w:val="16"/>
        </w:rPr>
      </w:pPr>
      <w:r w:rsidRPr="001D23E0">
        <w:rPr>
          <w:rStyle w:val="EndnoteReference"/>
          <w:rFonts w:ascii="Helvetica Neue" w:hAnsi="Helvetica Neue"/>
          <w:color w:val="4C4C4C" w:themeColor="text2"/>
          <w:sz w:val="16"/>
          <w:szCs w:val="16"/>
        </w:rPr>
        <w:endnoteRef/>
      </w:r>
      <w:r w:rsidRPr="001D23E0">
        <w:rPr>
          <w:rFonts w:ascii="Helvetica Neue" w:hAnsi="Helvetica Neue"/>
          <w:color w:val="4C4C4C" w:themeColor="text2"/>
          <w:sz w:val="16"/>
          <w:szCs w:val="16"/>
        </w:rPr>
        <w:t xml:space="preserve"> “Fostering Sustainable Behavior: Community-Based Social Marketing,”  Doug McKenzie-Mohr, 2010, </w:t>
      </w:r>
      <w:hyperlink r:id="rId164" w:history="1">
        <w:r w:rsidRPr="001D23E0">
          <w:rPr>
            <w:rStyle w:val="Hyperlink"/>
            <w:rFonts w:ascii="Helvetica Neue" w:hAnsi="Helvetica Neue"/>
            <w:color w:val="4C4C4C" w:themeColor="text2"/>
            <w:sz w:val="16"/>
            <w:szCs w:val="16"/>
          </w:rPr>
          <w:t>http://www.cbsm.com/public/world.lasso</w:t>
        </w:r>
      </w:hyperlink>
    </w:p>
  </w:endnote>
  <w:endnote w:id="219">
    <w:p w14:paraId="281139A0"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w:t>
      </w:r>
      <w:proofErr w:type="spellStart"/>
      <w:r w:rsidRPr="001D23E0">
        <w:rPr>
          <w:color w:val="4C4C4C" w:themeColor="text2"/>
          <w:sz w:val="16"/>
          <w:szCs w:val="16"/>
        </w:rPr>
        <w:t>Diarmaid</w:t>
      </w:r>
      <w:proofErr w:type="spellEnd"/>
      <w:r w:rsidRPr="001D23E0">
        <w:rPr>
          <w:color w:val="4C4C4C" w:themeColor="text2"/>
          <w:sz w:val="16"/>
          <w:szCs w:val="16"/>
        </w:rPr>
        <w:t xml:space="preserve"> Williams, “UN initiative seeks to bring district energy into the mainstream,” Decentralized Energy, August 2, 2016, </w:t>
      </w:r>
      <w:hyperlink r:id="rId165" w:tgtFrame="_blank" w:history="1">
        <w:r w:rsidRPr="001D23E0">
          <w:rPr>
            <w:rStyle w:val="Hyperlink"/>
            <w:rFonts w:eastAsia="Times New Roman" w:cs="Arial"/>
            <w:color w:val="4C4C4C" w:themeColor="text2"/>
            <w:sz w:val="16"/>
            <w:szCs w:val="16"/>
            <w:shd w:val="clear" w:color="auto" w:fill="FFFFFF"/>
          </w:rPr>
          <w:t>http://www.decentralized-energy.com/articles/2016/02/un-initiative-seeks-to-bring-district-energy-into-the-mainstream.html</w:t>
        </w:r>
      </w:hyperlink>
      <w:r w:rsidRPr="001D23E0">
        <w:rPr>
          <w:rFonts w:eastAsia="Times New Roman" w:cs="Times New Roman"/>
          <w:color w:val="4C4C4C" w:themeColor="text2"/>
          <w:sz w:val="16"/>
          <w:szCs w:val="16"/>
        </w:rPr>
        <w:t>.</w:t>
      </w:r>
      <w:r w:rsidRPr="001D23E0">
        <w:rPr>
          <w:color w:val="4C4C4C" w:themeColor="text2"/>
          <w:sz w:val="16"/>
          <w:szCs w:val="16"/>
        </w:rPr>
        <w:t xml:space="preserve"> </w:t>
      </w:r>
    </w:p>
  </w:endnote>
  <w:endnote w:id="220">
    <w:p w14:paraId="37DC71D0"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w:t>
      </w:r>
      <w:r w:rsidRPr="001D23E0">
        <w:rPr>
          <w:i/>
          <w:color w:val="4C4C4C" w:themeColor="text2"/>
          <w:sz w:val="16"/>
          <w:szCs w:val="16"/>
        </w:rPr>
        <w:t xml:space="preserve">District Energy in Cities: Unlocking the Potential of Energy Efficiency and Renewable Energy, </w:t>
      </w:r>
      <w:r w:rsidRPr="001D23E0">
        <w:rPr>
          <w:color w:val="4C4C4C" w:themeColor="text2"/>
          <w:sz w:val="16"/>
          <w:szCs w:val="16"/>
        </w:rPr>
        <w:t xml:space="preserve">United Nations Environment </w:t>
      </w:r>
      <w:proofErr w:type="spellStart"/>
      <w:r w:rsidRPr="001D23E0">
        <w:rPr>
          <w:color w:val="4C4C4C" w:themeColor="text2"/>
          <w:sz w:val="16"/>
          <w:szCs w:val="16"/>
        </w:rPr>
        <w:t>Programme</w:t>
      </w:r>
      <w:proofErr w:type="spellEnd"/>
      <w:r w:rsidRPr="001D23E0">
        <w:rPr>
          <w:color w:val="4C4C4C" w:themeColor="text2"/>
          <w:sz w:val="16"/>
          <w:szCs w:val="16"/>
        </w:rPr>
        <w:t xml:space="preserve">, 2015, </w:t>
      </w:r>
      <w:hyperlink r:id="rId166" w:history="1">
        <w:r w:rsidRPr="001D23E0">
          <w:rPr>
            <w:rStyle w:val="Hyperlink"/>
            <w:color w:val="4C4C4C" w:themeColor="text2"/>
            <w:sz w:val="16"/>
            <w:szCs w:val="16"/>
          </w:rPr>
          <w:t>http://www.unep.org/energy/portals/50177/DES_District_Energy_Report_full_02_d.pdf</w:t>
        </w:r>
      </w:hyperlink>
      <w:r w:rsidRPr="001D23E0">
        <w:rPr>
          <w:rStyle w:val="Hyperlink"/>
          <w:color w:val="4C4C4C" w:themeColor="text2"/>
          <w:sz w:val="16"/>
          <w:szCs w:val="16"/>
        </w:rPr>
        <w:t xml:space="preserve">. </w:t>
      </w:r>
      <w:r w:rsidRPr="001D23E0">
        <w:rPr>
          <w:color w:val="4C4C4C" w:themeColor="text2"/>
          <w:sz w:val="16"/>
          <w:szCs w:val="16"/>
        </w:rPr>
        <w:t xml:space="preserve"> </w:t>
      </w:r>
    </w:p>
  </w:endnote>
  <w:endnote w:id="221">
    <w:p w14:paraId="1F07055E"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“District Energy in Cities,” United Nations Environment </w:t>
      </w:r>
      <w:proofErr w:type="spellStart"/>
      <w:r w:rsidRPr="001D23E0">
        <w:rPr>
          <w:color w:val="4C4C4C" w:themeColor="text2"/>
          <w:sz w:val="16"/>
          <w:szCs w:val="16"/>
        </w:rPr>
        <w:t>Programme</w:t>
      </w:r>
      <w:proofErr w:type="spellEnd"/>
      <w:r w:rsidRPr="001D23E0">
        <w:rPr>
          <w:color w:val="4C4C4C" w:themeColor="text2"/>
          <w:sz w:val="16"/>
          <w:szCs w:val="16"/>
        </w:rPr>
        <w:t>, accessed April 12, 2016, http://www.districtenergyinitiative.org/</w:t>
      </w:r>
    </w:p>
  </w:endnote>
  <w:endnote w:id="222">
    <w:p w14:paraId="6B65A197"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“Duluth Energy Systems,” Ever-Green Energy™, 2016, http://www.ever-greenenergy.com/operations/duluth-steam/</w:t>
      </w:r>
    </w:p>
  </w:endnote>
  <w:endnote w:id="223">
    <w:p w14:paraId="34F511C5"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“DMC,” Destination Medical Center, 2016, </w:t>
      </w:r>
      <w:hyperlink r:id="rId167" w:history="1">
        <w:r w:rsidRPr="001D23E0">
          <w:rPr>
            <w:rStyle w:val="Hyperlink"/>
            <w:color w:val="4C4C4C" w:themeColor="text2"/>
            <w:sz w:val="16"/>
            <w:szCs w:val="16"/>
          </w:rPr>
          <w:t>http://dmc.mn/</w:t>
        </w:r>
      </w:hyperlink>
      <w:r w:rsidRPr="001D23E0">
        <w:rPr>
          <w:color w:val="4C4C4C" w:themeColor="text2"/>
          <w:sz w:val="16"/>
          <w:szCs w:val="16"/>
        </w:rPr>
        <w:t xml:space="preserve"> </w:t>
      </w:r>
    </w:p>
  </w:endnote>
  <w:endnote w:id="224">
    <w:p w14:paraId="38B78C68"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Mike Bull, Jennifer Edwards, Isaac Smith, Sheldon Strom, Michael Ahern, Sean </w:t>
      </w:r>
      <w:proofErr w:type="spellStart"/>
      <w:r w:rsidRPr="001D23E0">
        <w:rPr>
          <w:color w:val="4C4C4C" w:themeColor="text2"/>
          <w:sz w:val="16"/>
          <w:szCs w:val="16"/>
        </w:rPr>
        <w:t>McFarling</w:t>
      </w:r>
      <w:proofErr w:type="spellEnd"/>
      <w:r w:rsidRPr="001D23E0">
        <w:rPr>
          <w:color w:val="4C4C4C" w:themeColor="text2"/>
          <w:sz w:val="16"/>
          <w:szCs w:val="16"/>
        </w:rPr>
        <w:t xml:space="preserve">, Ken Smith, “Destination Medical Center: Sustainable Energy Options,” Center for Energy and Environment and Ever-Green Energy, December 2015, </w:t>
      </w:r>
      <w:hyperlink r:id="rId168" w:history="1">
        <w:r w:rsidRPr="001D23E0">
          <w:rPr>
            <w:rStyle w:val="Hyperlink"/>
            <w:color w:val="4C4C4C" w:themeColor="text2"/>
            <w:sz w:val="16"/>
            <w:szCs w:val="16"/>
          </w:rPr>
          <w:t>http://www.mncee.org/getattachment/What-We-Do/Engagement-and-Education/TEST/Sustainable-DMC.pdf.aspx</w:t>
        </w:r>
      </w:hyperlink>
    </w:p>
  </w:endnote>
  <w:endnote w:id="225">
    <w:p w14:paraId="74924373"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w:t>
      </w:r>
      <w:hyperlink r:id="rId169" w:history="1">
        <w:r w:rsidRPr="001D23E0">
          <w:rPr>
            <w:rStyle w:val="Hyperlink"/>
            <w:color w:val="4C4C4C" w:themeColor="text2"/>
            <w:sz w:val="16"/>
            <w:szCs w:val="16"/>
          </w:rPr>
          <w:t>http://dmc.mn/</w:t>
        </w:r>
      </w:hyperlink>
      <w:r w:rsidRPr="001D23E0">
        <w:rPr>
          <w:color w:val="4C4C4C" w:themeColor="text2"/>
          <w:sz w:val="16"/>
          <w:szCs w:val="16"/>
        </w:rPr>
        <w:t xml:space="preserve"> and </w:t>
      </w:r>
      <w:hyperlink r:id="rId170" w:history="1">
        <w:r w:rsidRPr="001D23E0">
          <w:rPr>
            <w:rStyle w:val="Hyperlink"/>
            <w:color w:val="4C4C4C" w:themeColor="text2"/>
            <w:sz w:val="16"/>
            <w:szCs w:val="16"/>
          </w:rPr>
          <w:t>http://www.mncee.org/getattachment/What-We-Do/Engagement-and-Education/TEST/Sustainable-DMC.pdf.aspx</w:t>
        </w:r>
      </w:hyperlink>
      <w:r w:rsidRPr="001D23E0">
        <w:rPr>
          <w:color w:val="4C4C4C" w:themeColor="text2"/>
          <w:sz w:val="16"/>
          <w:szCs w:val="16"/>
        </w:rPr>
        <w:t xml:space="preserve"> </w:t>
      </w:r>
      <w:proofErr w:type="spellStart"/>
      <w:r w:rsidRPr="001D23E0">
        <w:rPr>
          <w:color w:val="4C4C4C" w:themeColor="text2"/>
          <w:sz w:val="16"/>
          <w:szCs w:val="16"/>
        </w:rPr>
        <w:t>and</w:t>
      </w:r>
      <w:proofErr w:type="spellEnd"/>
      <w:r w:rsidRPr="001D23E0">
        <w:rPr>
          <w:color w:val="4C4C4C" w:themeColor="text2"/>
          <w:sz w:val="16"/>
          <w:szCs w:val="16"/>
        </w:rPr>
        <w:t xml:space="preserve"> Frank </w:t>
      </w:r>
      <w:proofErr w:type="spellStart"/>
      <w:r w:rsidRPr="001D23E0">
        <w:rPr>
          <w:color w:val="4C4C4C" w:themeColor="text2"/>
          <w:sz w:val="16"/>
          <w:szCs w:val="16"/>
        </w:rPr>
        <w:t>Jossi</w:t>
      </w:r>
      <w:proofErr w:type="spellEnd"/>
      <w:r w:rsidRPr="001D23E0">
        <w:rPr>
          <w:color w:val="4C4C4C" w:themeColor="text2"/>
          <w:sz w:val="16"/>
          <w:szCs w:val="16"/>
        </w:rPr>
        <w:t>, “ A net-zero strategy for major Minnesota medical center,” Midwest Energy News, January 25, 2016, http://midwestenergynews.com/2016/01/25/a-net-zero-strategy-for-major-minnesota-medical-center/</w:t>
      </w:r>
    </w:p>
  </w:endnote>
  <w:endnote w:id="226">
    <w:p w14:paraId="2A329288"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“Energy Policy White Paper,” Rice Creek Commons, November 2014, </w:t>
      </w:r>
      <w:hyperlink r:id="rId171" w:history="1">
        <w:r w:rsidRPr="001D23E0">
          <w:rPr>
            <w:rStyle w:val="Hyperlink"/>
            <w:color w:val="4C4C4C" w:themeColor="text2"/>
            <w:sz w:val="16"/>
            <w:szCs w:val="16"/>
          </w:rPr>
          <w:t>http://ricecreekcommons.com/energy/energy-policy-white-paper/</w:t>
        </w:r>
      </w:hyperlink>
      <w:r w:rsidRPr="001D23E0">
        <w:rPr>
          <w:color w:val="4C4C4C" w:themeColor="text2"/>
          <w:sz w:val="16"/>
          <w:szCs w:val="16"/>
        </w:rPr>
        <w:t xml:space="preserve"> and </w:t>
      </w:r>
      <w:hyperlink r:id="rId172" w:history="1">
        <w:r w:rsidRPr="001D23E0">
          <w:rPr>
            <w:rStyle w:val="Hyperlink"/>
            <w:color w:val="4C4C4C" w:themeColor="text2"/>
            <w:sz w:val="16"/>
            <w:szCs w:val="16"/>
          </w:rPr>
          <w:t>http://ricecreekcommons.com/wp-content/uploads/2014/12/TCAAP-WP-FINAL.pdf</w:t>
        </w:r>
      </w:hyperlink>
      <w:r w:rsidRPr="001D23E0">
        <w:rPr>
          <w:color w:val="4C4C4C" w:themeColor="text2"/>
          <w:sz w:val="16"/>
          <w:szCs w:val="16"/>
        </w:rPr>
        <w:t xml:space="preserve"> </w:t>
      </w:r>
    </w:p>
  </w:endnote>
  <w:endnote w:id="227">
    <w:p w14:paraId="712C39B4"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“TCAAP Energy Integration Resiliency Framework Phase 1: Policy White Paper,” Ever-Green Energy, Burns &amp; McDonnell, Center for Energy and the Environment, Fresh Energy, November 2014, </w:t>
      </w:r>
      <w:hyperlink r:id="rId173" w:history="1">
        <w:r w:rsidRPr="001D23E0">
          <w:rPr>
            <w:rStyle w:val="Hyperlink"/>
            <w:color w:val="4C4C4C" w:themeColor="text2"/>
            <w:sz w:val="16"/>
            <w:szCs w:val="16"/>
          </w:rPr>
          <w:t>http://ricecreekcommons.com/wp-content/uploads/2014/12/TCAAP-WP-FINAL.pdf</w:t>
        </w:r>
      </w:hyperlink>
    </w:p>
  </w:endnote>
  <w:endnote w:id="228">
    <w:p w14:paraId="48AEA779"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Brian </w:t>
      </w:r>
      <w:proofErr w:type="spellStart"/>
      <w:r w:rsidRPr="001D23E0">
        <w:rPr>
          <w:color w:val="4C4C4C" w:themeColor="text2"/>
          <w:sz w:val="16"/>
          <w:szCs w:val="16"/>
        </w:rPr>
        <w:t>Martucci</w:t>
      </w:r>
      <w:proofErr w:type="spellEnd"/>
      <w:r w:rsidRPr="001D23E0">
        <w:rPr>
          <w:color w:val="4C4C4C" w:themeColor="text2"/>
          <w:sz w:val="16"/>
          <w:szCs w:val="16"/>
        </w:rPr>
        <w:t xml:space="preserve">, “An urbanist’s dream: New MSP innovation district would create national standard for city building,” </w:t>
      </w:r>
      <w:proofErr w:type="spellStart"/>
      <w:r w:rsidRPr="001D23E0">
        <w:rPr>
          <w:color w:val="4C4C4C" w:themeColor="text2"/>
          <w:sz w:val="16"/>
          <w:szCs w:val="16"/>
        </w:rPr>
        <w:t>MinnPost</w:t>
      </w:r>
      <w:proofErr w:type="spellEnd"/>
      <w:r w:rsidRPr="001D23E0">
        <w:rPr>
          <w:color w:val="4C4C4C" w:themeColor="text2"/>
          <w:sz w:val="16"/>
          <w:szCs w:val="16"/>
        </w:rPr>
        <w:t>, July 31, 2015, https://www.minnpost.com/line/2015/07/urbanists-dream-new-msp-innovation-district-would-create-national-standard-city-buildin</w:t>
      </w:r>
    </w:p>
  </w:endnote>
  <w:endnote w:id="229">
    <w:p w14:paraId="6F5BBB2D"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“Ford Site: A 21</w:t>
      </w:r>
      <w:r w:rsidRPr="001D23E0">
        <w:rPr>
          <w:color w:val="4C4C4C" w:themeColor="text2"/>
          <w:sz w:val="16"/>
          <w:szCs w:val="16"/>
          <w:vertAlign w:val="superscript"/>
        </w:rPr>
        <w:t>st</w:t>
      </w:r>
      <w:r w:rsidRPr="001D23E0">
        <w:rPr>
          <w:color w:val="4C4C4C" w:themeColor="text2"/>
          <w:sz w:val="16"/>
          <w:szCs w:val="16"/>
        </w:rPr>
        <w:t xml:space="preserve"> Century Community,” Saint Paul Minnesota, accessed April 12, 2016, </w:t>
      </w:r>
      <w:hyperlink r:id="rId174" w:history="1">
        <w:r w:rsidRPr="001D23E0">
          <w:rPr>
            <w:rStyle w:val="Hyperlink"/>
            <w:rFonts w:cs="Lucida Grande"/>
            <w:color w:val="4C4C4C" w:themeColor="text2"/>
            <w:sz w:val="16"/>
            <w:szCs w:val="16"/>
          </w:rPr>
          <w:t>https://www.stpaul.gov/departments/planning-economic-development/planning/ford-site-21st-century-community</w:t>
        </w:r>
      </w:hyperlink>
      <w:r w:rsidRPr="001D23E0">
        <w:rPr>
          <w:rFonts w:cs="Lucida Grande"/>
          <w:color w:val="4C4C4C" w:themeColor="text2"/>
          <w:sz w:val="16"/>
          <w:szCs w:val="16"/>
        </w:rPr>
        <w:t xml:space="preserve"> </w:t>
      </w:r>
    </w:p>
  </w:endnote>
  <w:endnote w:id="230">
    <w:p w14:paraId="2D288E9B"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“Snelling-Midway Redevelopment Site,” Saint Paul Minnesota, accessed April 12, 2016,  </w:t>
      </w:r>
      <w:hyperlink r:id="rId175" w:history="1">
        <w:r w:rsidRPr="001D23E0">
          <w:rPr>
            <w:rStyle w:val="Hyperlink"/>
            <w:color w:val="4C4C4C" w:themeColor="text2"/>
            <w:sz w:val="16"/>
            <w:szCs w:val="16"/>
          </w:rPr>
          <w:t>https://www.stpaul.gov/departments/planning-economic-development/planning/snelling-midway-redevelopment-site</w:t>
        </w:r>
      </w:hyperlink>
      <w:r w:rsidRPr="001D23E0">
        <w:rPr>
          <w:color w:val="4C4C4C" w:themeColor="text2"/>
          <w:sz w:val="16"/>
          <w:szCs w:val="16"/>
        </w:rPr>
        <w:t xml:space="preserve"> </w:t>
      </w:r>
    </w:p>
  </w:endnote>
  <w:endnote w:id="231">
    <w:p w14:paraId="07F3A176"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“CHP Technical Assistance Partnerships: Midwest,” U.S. Department of Energy, accessed April 12, 2016, http://midwestchptap.org/</w:t>
      </w:r>
    </w:p>
  </w:endnote>
  <w:endnote w:id="232">
    <w:p w14:paraId="2885D47B"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Anne Hampson, Tom Bourgeois, Gavin Dillingham, Isaac </w:t>
      </w:r>
      <w:proofErr w:type="spellStart"/>
      <w:r w:rsidRPr="001D23E0">
        <w:rPr>
          <w:color w:val="4C4C4C" w:themeColor="text2"/>
          <w:sz w:val="16"/>
          <w:szCs w:val="16"/>
        </w:rPr>
        <w:t>Panzarella</w:t>
      </w:r>
      <w:proofErr w:type="spellEnd"/>
      <w:r w:rsidRPr="001D23E0">
        <w:rPr>
          <w:color w:val="4C4C4C" w:themeColor="text2"/>
          <w:sz w:val="16"/>
          <w:szCs w:val="16"/>
        </w:rPr>
        <w:t xml:space="preserve">, “CHP: Enabling Resilient Energy Infrastructure for Critical Facilities,” prepared by ICF for Oak Ridge National Laboratory, March 2013, </w:t>
      </w:r>
      <w:r w:rsidRPr="001D23E0">
        <w:rPr>
          <w:rFonts w:cs="Lucida Grande"/>
          <w:color w:val="4C4C4C" w:themeColor="text2"/>
          <w:sz w:val="16"/>
          <w:szCs w:val="16"/>
        </w:rPr>
        <w:t>http://energy.gov/eere/amo/downloads/chp-enabling-resilient-energy-infrastructure-critical-facilities-report-march</w:t>
      </w:r>
    </w:p>
  </w:endnote>
  <w:endnote w:id="233">
    <w:p w14:paraId="31353765"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“IEA DHC: The international hub for district energy research,” International Energy Agency District Heating and Cooling, 2013, </w:t>
      </w:r>
      <w:r w:rsidRPr="001D23E0">
        <w:rPr>
          <w:rFonts w:cs="Lucida Grande"/>
          <w:color w:val="4C4C4C" w:themeColor="text2"/>
          <w:sz w:val="16"/>
          <w:szCs w:val="16"/>
        </w:rPr>
        <w:t>http://www.iea-dhc.org/home.html</w:t>
      </w:r>
    </w:p>
  </w:endnote>
  <w:endnote w:id="234">
    <w:p w14:paraId="619AE6D2"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“Combined Heat and Power (CHP),” American Council for an Energy-Efficient Economy, 2015, </w:t>
      </w:r>
      <w:hyperlink r:id="rId176" w:history="1">
        <w:r w:rsidRPr="001D23E0">
          <w:rPr>
            <w:rStyle w:val="Hyperlink"/>
            <w:color w:val="4C4C4C" w:themeColor="text2"/>
            <w:sz w:val="16"/>
            <w:szCs w:val="16"/>
          </w:rPr>
          <w:t>http://aceee.org/topics/combined-heat-and-power-chp</w:t>
        </w:r>
      </w:hyperlink>
      <w:r w:rsidRPr="001D23E0">
        <w:rPr>
          <w:rStyle w:val="Hyperlink"/>
          <w:color w:val="4C4C4C" w:themeColor="text2"/>
          <w:sz w:val="16"/>
          <w:szCs w:val="16"/>
        </w:rPr>
        <w:t>.</w:t>
      </w:r>
    </w:p>
  </w:endnote>
  <w:endnote w:id="235">
    <w:p w14:paraId="0E95EAEC" w14:textId="77777777" w:rsidR="006506BB" w:rsidRPr="001D23E0" w:rsidRDefault="006506BB" w:rsidP="00164A5A">
      <w:pPr>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“CHP in Minnesota: Technical and economic potential,” produced by </w:t>
      </w:r>
      <w:proofErr w:type="spellStart"/>
      <w:r w:rsidRPr="001D23E0">
        <w:rPr>
          <w:color w:val="4C4C4C" w:themeColor="text2"/>
          <w:sz w:val="16"/>
          <w:szCs w:val="16"/>
        </w:rPr>
        <w:t>Microgrid</w:t>
      </w:r>
      <w:proofErr w:type="spellEnd"/>
      <w:r w:rsidRPr="001D23E0">
        <w:rPr>
          <w:color w:val="4C4C4C" w:themeColor="text2"/>
          <w:sz w:val="16"/>
          <w:szCs w:val="16"/>
        </w:rPr>
        <w:t xml:space="preserve"> Institute for the Minnesota Department of Commerce, August 2014 </w:t>
      </w:r>
      <w:hyperlink r:id="rId177" w:history="1">
        <w:r w:rsidRPr="001D23E0">
          <w:rPr>
            <w:rStyle w:val="Hyperlink"/>
            <w:color w:val="4C4C4C" w:themeColor="text2"/>
            <w:sz w:val="16"/>
            <w:szCs w:val="16"/>
          </w:rPr>
          <w:t>http://mn.gov/commerce-stat/pdfs/CHP20pdfs20pdfspercent20pdfs20pdfs/Technical20and%20Economic%20Potential20Potentialpercent20andpercent20Economicpercent20Potential20Potential.pdf</w:t>
        </w:r>
      </w:hyperlink>
      <w:r w:rsidRPr="001D23E0">
        <w:rPr>
          <w:rStyle w:val="Hyperlink"/>
          <w:color w:val="4C4C4C" w:themeColor="text2"/>
          <w:sz w:val="16"/>
          <w:szCs w:val="16"/>
        </w:rPr>
        <w:t xml:space="preserve">. </w:t>
      </w:r>
      <w:r w:rsidRPr="001D23E0">
        <w:rPr>
          <w:color w:val="4C4C4C" w:themeColor="text2"/>
          <w:sz w:val="16"/>
          <w:szCs w:val="16"/>
        </w:rPr>
        <w:t xml:space="preserve"> </w:t>
      </w:r>
    </w:p>
  </w:endnote>
  <w:endnote w:id="236">
    <w:p w14:paraId="2862110A"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“Standby Rates,” American Council for an Energy-Efficient Economy, 2015,</w:t>
      </w:r>
      <w:hyperlink r:id="rId178" w:history="1">
        <w:r w:rsidRPr="001D23E0">
          <w:rPr>
            <w:rStyle w:val="Hyperlink"/>
            <w:color w:val="4C4C4C" w:themeColor="text2"/>
            <w:sz w:val="16"/>
            <w:szCs w:val="16"/>
          </w:rPr>
          <w:t>http://aceee.org/topics/standby-rates</w:t>
        </w:r>
      </w:hyperlink>
      <w:r w:rsidRPr="001D23E0">
        <w:rPr>
          <w:color w:val="4C4C4C" w:themeColor="text2"/>
          <w:sz w:val="16"/>
          <w:szCs w:val="16"/>
        </w:rPr>
        <w:t xml:space="preserve"> </w:t>
      </w:r>
    </w:p>
  </w:endnote>
  <w:endnote w:id="237">
    <w:p w14:paraId="58548171"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“Combined Heat &amp; Power Stakeholder Engagement,” Minnesota Department of Commerce, accessed April 12, 2016, </w:t>
      </w:r>
      <w:hyperlink r:id="rId179" w:history="1">
        <w:r w:rsidRPr="001D23E0">
          <w:rPr>
            <w:rStyle w:val="Hyperlink"/>
            <w:color w:val="4C4C4C" w:themeColor="text2"/>
            <w:sz w:val="16"/>
            <w:szCs w:val="16"/>
          </w:rPr>
          <w:t>http://mn.gov/commerce/industries/energy/distributed-energy/combined-heat-power.jsp</w:t>
        </w:r>
      </w:hyperlink>
      <w:r w:rsidRPr="001D23E0">
        <w:rPr>
          <w:color w:val="4C4C4C" w:themeColor="text2"/>
          <w:sz w:val="16"/>
          <w:szCs w:val="16"/>
        </w:rPr>
        <w:t xml:space="preserve"> and </w:t>
      </w:r>
      <w:r w:rsidRPr="001D23E0">
        <w:rPr>
          <w:rFonts w:cs="Lucida Grande"/>
          <w:color w:val="4C4C4C" w:themeColor="text2"/>
          <w:sz w:val="16"/>
          <w:szCs w:val="16"/>
        </w:rPr>
        <w:t>http://mn.gov/commerce/industries/energy/distributed-energy/chp-action-plan-implementation-.jsp</w:t>
      </w:r>
    </w:p>
  </w:endnote>
  <w:endnote w:id="238">
    <w:p w14:paraId="3CF6B5C6" w14:textId="77777777" w:rsidR="006506BB" w:rsidRPr="001D23E0" w:rsidRDefault="006506BB" w:rsidP="00164A5A">
      <w:pPr>
        <w:pStyle w:val="EndnoteText"/>
        <w:rPr>
          <w:color w:val="4C4C4C" w:themeColor="text2"/>
          <w:sz w:val="16"/>
          <w:szCs w:val="16"/>
        </w:rPr>
      </w:pPr>
      <w:r w:rsidRPr="001D23E0">
        <w:rPr>
          <w:rStyle w:val="EndnoteReference"/>
          <w:color w:val="4C4C4C" w:themeColor="text2"/>
          <w:sz w:val="16"/>
          <w:szCs w:val="16"/>
        </w:rPr>
        <w:endnoteRef/>
      </w:r>
      <w:r w:rsidRPr="001D23E0">
        <w:rPr>
          <w:color w:val="4C4C4C" w:themeColor="text2"/>
          <w:sz w:val="16"/>
          <w:szCs w:val="16"/>
        </w:rPr>
        <w:t xml:space="preserve"> “Combined Heat &amp; Power Action Plan Implementation,” Minnesota Department of Commerce, accessed April 12, 2016, </w:t>
      </w:r>
      <w:r w:rsidRPr="001D23E0">
        <w:rPr>
          <w:rFonts w:cs="Lucida Grande"/>
          <w:color w:val="4C4C4C" w:themeColor="text2"/>
          <w:sz w:val="16"/>
          <w:szCs w:val="16"/>
        </w:rPr>
        <w:t>http://mn.gov/commerce/industries/energy/distributed-energy/chp-action-plan-implementation-.jsp</w:t>
      </w:r>
    </w:p>
  </w:endnote>
  <w:endnote w:id="239">
    <w:p w14:paraId="5FA85215"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“Minnesota Technical Assistance Program,” University of Minnesota, August 9, 2010, </w:t>
      </w:r>
      <w:hyperlink r:id="rId180" w:history="1">
        <w:r w:rsidRPr="001D23E0">
          <w:rPr>
            <w:rStyle w:val="Hyperlink"/>
            <w:rFonts w:cs="Lucida Grande"/>
            <w:color w:val="4C4C4C" w:themeColor="text2"/>
            <w:sz w:val="16"/>
            <w:szCs w:val="16"/>
          </w:rPr>
          <w:t>http://www.mntap.umn.edu/index.htm</w:t>
        </w:r>
      </w:hyperlink>
      <w:r w:rsidRPr="001D23E0">
        <w:rPr>
          <w:rFonts w:cs="Lucida Grande"/>
          <w:color w:val="4C4C4C" w:themeColor="text2"/>
          <w:sz w:val="16"/>
          <w:szCs w:val="16"/>
        </w:rPr>
        <w:t xml:space="preserve"> </w:t>
      </w:r>
    </w:p>
  </w:endnote>
  <w:endnote w:id="240">
    <w:p w14:paraId="5761D1B5"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w:t>
      </w:r>
      <w:hyperlink r:id="rId181" w:history="1">
        <w:r w:rsidRPr="001D23E0">
          <w:rPr>
            <w:rStyle w:val="Hyperlink"/>
            <w:rFonts w:cs="Lucida Grande"/>
            <w:color w:val="4C4C4C" w:themeColor="text2"/>
            <w:sz w:val="16"/>
            <w:szCs w:val="16"/>
          </w:rPr>
          <w:t>http://www.mntap.umn.edu/index.htm</w:t>
        </w:r>
      </w:hyperlink>
      <w:r w:rsidRPr="001D23E0">
        <w:rPr>
          <w:rFonts w:cs="Lucida Grande"/>
          <w:color w:val="4C4C4C" w:themeColor="text2"/>
          <w:sz w:val="16"/>
          <w:szCs w:val="16"/>
        </w:rPr>
        <w:t xml:space="preserve"> </w:t>
      </w:r>
      <w:r w:rsidRPr="001D23E0">
        <w:rPr>
          <w:color w:val="4C4C4C" w:themeColor="text2"/>
          <w:sz w:val="16"/>
          <w:szCs w:val="16"/>
        </w:rPr>
        <w:t xml:space="preserve"> </w:t>
      </w:r>
      <w:r w:rsidRPr="001D23E0">
        <w:rPr>
          <w:i/>
          <w:color w:val="4C4C4C" w:themeColor="text2"/>
          <w:sz w:val="16"/>
          <w:szCs w:val="16"/>
        </w:rPr>
        <w:t>Ibid</w:t>
      </w:r>
      <w:r w:rsidRPr="001D23E0">
        <w:rPr>
          <w:rFonts w:cs="Lucida Grande"/>
          <w:color w:val="4C4C4C" w:themeColor="text2"/>
          <w:sz w:val="16"/>
          <w:szCs w:val="16"/>
        </w:rPr>
        <w:t xml:space="preserve"> </w:t>
      </w:r>
    </w:p>
  </w:endnote>
  <w:endnote w:id="241">
    <w:p w14:paraId="5EB7040A"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“CHP Deployment,” U.S. Department of Energy, Office of Energy Efficiency and Renewable Energy, accessed April 12, 2016, </w:t>
      </w:r>
      <w:r w:rsidRPr="001D23E0">
        <w:rPr>
          <w:rFonts w:cs="Lucida Grande"/>
          <w:color w:val="4C4C4C" w:themeColor="text2"/>
          <w:sz w:val="16"/>
          <w:szCs w:val="16"/>
        </w:rPr>
        <w:t>http://energy.gov/eere/amo/chp-deployment</w:t>
      </w:r>
    </w:p>
  </w:endnote>
  <w:endnote w:id="242">
    <w:p w14:paraId="2E22D411"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“CHP Technical Assistance Partnerships: Midwest,” U.S. Department of Energy, accessed April 12, 2016, http://midwestchptap.org/</w:t>
      </w:r>
    </w:p>
  </w:endnote>
  <w:endnote w:id="243">
    <w:p w14:paraId="092E6140" w14:textId="77777777" w:rsidR="006506BB" w:rsidRPr="001D23E0" w:rsidRDefault="006506BB" w:rsidP="00164A5A">
      <w:pPr>
        <w:pStyle w:val="EndnoteText"/>
        <w:rPr>
          <w:color w:val="4C4C4C" w:themeColor="text2"/>
          <w:sz w:val="16"/>
          <w:szCs w:val="16"/>
          <w:highlight w:val="yellow"/>
        </w:rPr>
      </w:pPr>
      <w:r w:rsidRPr="001D23E0">
        <w:rPr>
          <w:rStyle w:val="EndnoteReference"/>
          <w:color w:val="4C4C4C" w:themeColor="text2"/>
          <w:sz w:val="16"/>
          <w:szCs w:val="16"/>
        </w:rPr>
        <w:endnoteRef/>
      </w:r>
      <w:r w:rsidRPr="001D23E0">
        <w:rPr>
          <w:color w:val="4C4C4C" w:themeColor="text2"/>
          <w:sz w:val="16"/>
          <w:szCs w:val="16"/>
        </w:rPr>
        <w:t xml:space="preserve"> “Guide to the Successful Implementation of State Combined Heat and Power Policies,” State and Local Energy Efficiency Action Network, March 15, 2013, </w:t>
      </w:r>
      <w:hyperlink r:id="rId182">
        <w:r w:rsidRPr="001D23E0">
          <w:rPr>
            <w:rStyle w:val="Hyperlink"/>
            <w:color w:val="4C4C4C" w:themeColor="text2"/>
            <w:sz w:val="16"/>
            <w:szCs w:val="16"/>
          </w:rPr>
          <w:t>https://www4.eere.energy.gov/seeaction/publication/guide-successful-implementation-state-combined-heat-and-power-policies</w:t>
        </w:r>
      </w:hyperlink>
    </w:p>
  </w:endnote>
  <w:endnote w:id="244">
    <w:p w14:paraId="53559C41" w14:textId="77777777" w:rsidR="006506BB" w:rsidRPr="001D23E0" w:rsidRDefault="006506BB" w:rsidP="00164A5A">
      <w:pPr>
        <w:pStyle w:val="Normal1"/>
        <w:contextualSpacing/>
        <w:rPr>
          <w:rFonts w:ascii="Helvetica Neue" w:hAnsi="Helvetica Neue"/>
          <w:color w:val="4C4C4C" w:themeColor="text2"/>
          <w:sz w:val="16"/>
          <w:szCs w:val="16"/>
        </w:rPr>
      </w:pPr>
      <w:r w:rsidRPr="001D23E0">
        <w:rPr>
          <w:rStyle w:val="EndnoteReference"/>
          <w:rFonts w:ascii="Helvetica Neue" w:hAnsi="Helvetica Neue"/>
          <w:color w:val="4C4C4C" w:themeColor="text2"/>
          <w:sz w:val="16"/>
          <w:szCs w:val="16"/>
        </w:rPr>
        <w:endnoteRef/>
      </w:r>
      <w:r w:rsidRPr="001D23E0">
        <w:rPr>
          <w:rFonts w:ascii="Helvetica Neue" w:hAnsi="Helvetica Neue"/>
          <w:color w:val="4C4C4C" w:themeColor="text2"/>
          <w:sz w:val="16"/>
          <w:szCs w:val="16"/>
        </w:rPr>
        <w:t xml:space="preserve"> “U.S. DOE Combined Heat and Power Installation Database,” U.S. Department of Energy, Office of Energy Efficiency and Renewable Energy, March 1, 2016, </w:t>
      </w:r>
      <w:hyperlink r:id="rId183">
        <w:r w:rsidRPr="001D23E0">
          <w:rPr>
            <w:rStyle w:val="Hyperlink"/>
            <w:rFonts w:ascii="Helvetica Neue" w:hAnsi="Helvetica Neue"/>
            <w:color w:val="4C4C4C" w:themeColor="text2"/>
            <w:sz w:val="16"/>
            <w:szCs w:val="16"/>
          </w:rPr>
          <w:t>https://doe.icfwebservices.com/chpdb/</w:t>
        </w:r>
      </w:hyperlink>
    </w:p>
    <w:p w14:paraId="165858CF" w14:textId="77777777" w:rsidR="006506BB" w:rsidRPr="003A16DF" w:rsidRDefault="006506BB" w:rsidP="00164A5A">
      <w:pPr>
        <w:pStyle w:val="EndnoteText"/>
      </w:pPr>
    </w:p>
  </w:endnote>
  <w:endnote w:id="245">
    <w:p w14:paraId="06B4D60A" w14:textId="77777777" w:rsidR="006506BB" w:rsidRPr="00E1283C" w:rsidRDefault="006506BB" w:rsidP="00FD77F7">
      <w:pPr>
        <w:rPr>
          <w:color w:val="4C4C4C" w:themeColor="text2"/>
          <w:sz w:val="16"/>
          <w:szCs w:val="16"/>
        </w:rPr>
      </w:pPr>
      <w:r w:rsidRPr="00E1283C">
        <w:rPr>
          <w:color w:val="4C4C4C" w:themeColor="text2"/>
          <w:sz w:val="16"/>
          <w:szCs w:val="16"/>
          <w:vertAlign w:val="superscript"/>
        </w:rPr>
        <w:endnoteRef/>
      </w:r>
      <w:r w:rsidRPr="00E1283C">
        <w:rPr>
          <w:color w:val="4C4C4C" w:themeColor="text2"/>
          <w:sz w:val="16"/>
          <w:szCs w:val="16"/>
        </w:rPr>
        <w:t xml:space="preserve"> Minnesota State Profile and Energy Estimates,” U.S. Energy Information Administration, March 17, 2016, </w:t>
      </w:r>
      <w:hyperlink r:id="rId184" w:anchor="tabs-2">
        <w:r w:rsidRPr="00E1283C">
          <w:rPr>
            <w:color w:val="4C4C4C" w:themeColor="text2"/>
            <w:sz w:val="16"/>
            <w:szCs w:val="16"/>
            <w:u w:val="single"/>
          </w:rPr>
          <w:t>http://www.eia.gov/state/?sid=MN#tabs-2</w:t>
        </w:r>
      </w:hyperlink>
    </w:p>
  </w:endnote>
  <w:endnote w:id="246">
    <w:p w14:paraId="3669C96B" w14:textId="77777777" w:rsidR="006506BB" w:rsidRPr="00E1283C" w:rsidRDefault="006506BB" w:rsidP="00FD77F7">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Regional Data: GDP and Personal Income,” U.S. Department of Commerce, Bureau of Economic Analysis, accessed March 22, 2016, http://www.bea.gov/iTable/iTable.cfm?reqid=70&amp;step=10&amp;isuri=1&amp;7003=200&amp;7035=-1&amp;7004=naics&amp;7005=-1&amp;7006=27000&amp;7036=-1&amp;7001=1200&amp;7002=1&amp;7090=70&amp;7007=2014&amp;7093=levels#reqid=70&amp;step=10&amp;isuri=1&amp;7003=200&amp;7004=naics&amp;7035=-1&amp;7005=-1&amp;7006=27000&amp;7001=1200&amp;7036=-1&amp;7002=1&amp;7090=70&amp;7007=2014&amp;7093=levels</w:t>
      </w:r>
    </w:p>
  </w:endnote>
  <w:endnote w:id="247">
    <w:p w14:paraId="2493B46B" w14:textId="77777777" w:rsidR="006506BB" w:rsidRPr="00E1283C" w:rsidRDefault="006506BB" w:rsidP="00FD77F7">
      <w:pPr>
        <w:rPr>
          <w:color w:val="4C4C4C" w:themeColor="text2"/>
          <w:sz w:val="16"/>
          <w:szCs w:val="16"/>
        </w:rPr>
      </w:pPr>
      <w:r w:rsidRPr="00E1283C">
        <w:rPr>
          <w:color w:val="4C4C4C" w:themeColor="text2"/>
          <w:sz w:val="16"/>
          <w:szCs w:val="16"/>
          <w:vertAlign w:val="superscript"/>
        </w:rPr>
        <w:endnoteRef/>
      </w:r>
      <w:r w:rsidRPr="00E1283C">
        <w:rPr>
          <w:color w:val="4C4C4C" w:themeColor="text2"/>
          <w:sz w:val="16"/>
          <w:szCs w:val="16"/>
        </w:rPr>
        <w:t xml:space="preserve"> “Ethanol,” Minnesota Department of Agriculture, 2016, </w:t>
      </w:r>
      <w:hyperlink r:id="rId185">
        <w:r w:rsidRPr="00E1283C">
          <w:rPr>
            <w:color w:val="4C4C4C" w:themeColor="text2"/>
            <w:sz w:val="16"/>
            <w:szCs w:val="16"/>
            <w:u w:val="single"/>
          </w:rPr>
          <w:t>http://www.mda.state.mn.us/renewable/ethanol.aspx</w:t>
        </w:r>
      </w:hyperlink>
    </w:p>
  </w:endnote>
  <w:endnote w:id="248">
    <w:p w14:paraId="70CE43A6" w14:textId="77777777" w:rsidR="006506BB" w:rsidRPr="00E1283C" w:rsidRDefault="006506BB" w:rsidP="00FD77F7">
      <w:pPr>
        <w:rPr>
          <w:color w:val="4C4C4C" w:themeColor="text2"/>
          <w:sz w:val="16"/>
          <w:szCs w:val="16"/>
        </w:rPr>
      </w:pPr>
      <w:r w:rsidRPr="00E1283C">
        <w:rPr>
          <w:color w:val="4C4C4C" w:themeColor="text2"/>
          <w:sz w:val="16"/>
          <w:szCs w:val="16"/>
          <w:vertAlign w:val="superscript"/>
        </w:rPr>
        <w:endnoteRef/>
      </w:r>
      <w:r w:rsidRPr="00E1283C">
        <w:rPr>
          <w:color w:val="4C4C4C" w:themeColor="text2"/>
          <w:sz w:val="16"/>
          <w:szCs w:val="16"/>
        </w:rPr>
        <w:t xml:space="preserve"> </w:t>
      </w:r>
      <w:r w:rsidRPr="00E1283C">
        <w:rPr>
          <w:i/>
          <w:color w:val="4C4C4C" w:themeColor="text2"/>
          <w:sz w:val="16"/>
          <w:szCs w:val="16"/>
        </w:rPr>
        <w:t>Report to the Legislature: Annual Report on Biodiesel,</w:t>
      </w:r>
      <w:r w:rsidRPr="00E1283C">
        <w:rPr>
          <w:color w:val="4C4C4C" w:themeColor="text2"/>
          <w:sz w:val="16"/>
          <w:szCs w:val="16"/>
        </w:rPr>
        <w:t xml:space="preserve"> Minnesota Department of Agriculture, January 15, 2016, </w:t>
      </w:r>
      <w:hyperlink r:id="rId186">
        <w:r w:rsidRPr="00E1283C">
          <w:rPr>
            <w:color w:val="4C4C4C" w:themeColor="text2"/>
            <w:sz w:val="16"/>
            <w:szCs w:val="16"/>
            <w:u w:val="single"/>
          </w:rPr>
          <w:t>http://www.mda.state.mn.us/news/government/~/media/Files/news/govrelations/legrpt-biodiesel16.pdf</w:t>
        </w:r>
      </w:hyperlink>
    </w:p>
  </w:endnote>
  <w:endnote w:id="249">
    <w:p w14:paraId="39E5BDD0" w14:textId="258A2F8C" w:rsidR="006506BB" w:rsidRPr="00E1283C" w:rsidRDefault="006506BB" w:rsidP="000A0551">
      <w:pPr>
        <w:rPr>
          <w:color w:val="4C4C4C" w:themeColor="text2"/>
          <w:sz w:val="16"/>
          <w:szCs w:val="16"/>
        </w:rPr>
      </w:pPr>
      <w:r w:rsidRPr="00E1283C">
        <w:rPr>
          <w:color w:val="4C4C4C" w:themeColor="text2"/>
          <w:sz w:val="16"/>
          <w:szCs w:val="16"/>
          <w:vertAlign w:val="superscript"/>
        </w:rPr>
        <w:endnoteRef/>
      </w:r>
      <w:r w:rsidRPr="00E1283C">
        <w:rPr>
          <w:color w:val="4C4C4C" w:themeColor="text2"/>
          <w:sz w:val="16"/>
          <w:szCs w:val="16"/>
        </w:rPr>
        <w:t xml:space="preserve"> Minnesota State Profile and Energy Estimates,” U.S. Energy Information Administration, March 17, 2016, </w:t>
      </w:r>
      <w:hyperlink r:id="rId187" w:anchor="tabs-2">
        <w:r w:rsidRPr="00E1283C">
          <w:rPr>
            <w:color w:val="4C4C4C" w:themeColor="text2"/>
            <w:sz w:val="16"/>
            <w:szCs w:val="16"/>
            <w:u w:val="single"/>
          </w:rPr>
          <w:t>http://www.eia.gov/state/?sid=MN#tabs-2</w:t>
        </w:r>
      </w:hyperlink>
    </w:p>
  </w:endnote>
  <w:endnote w:id="250">
    <w:p w14:paraId="3DAFB36C" w14:textId="5B509A27" w:rsidR="006506BB" w:rsidRPr="00E1283C" w:rsidRDefault="006506BB" w:rsidP="000A0551">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Regional Data: GDP and Personal Income,” U.S. Department of Commerce, Bureau of Economic Analysis, accessed March 22, 2016, http://www.bea.gov/iTable/iTable.cfm?reqid=70&amp;step=10&amp;isuri=1&amp;7003=200&amp;7035=-1&amp;7004=naics&amp;7005=-1&amp;7006=27000&amp;7036=-1&amp;7001=1200&amp;7002=1&amp;7090=70&amp;7007=2014&amp;7093=levels#reqid=70&amp;step=10&amp;isuri=1&amp;7003=200&amp;7004=naics&amp;7035=-1&amp;7005=-1&amp;7006=27000&amp;7001=1200&amp;7036=-1&amp;7002=1&amp;7090=70&amp;7007=2014&amp;7093=levels</w:t>
      </w:r>
    </w:p>
  </w:endnote>
  <w:endnote w:id="251">
    <w:p w14:paraId="18830E6D" w14:textId="6089B444" w:rsidR="006506BB" w:rsidRPr="00E1283C" w:rsidRDefault="006506BB" w:rsidP="000A0551">
      <w:pPr>
        <w:rPr>
          <w:color w:val="4C4C4C" w:themeColor="text2"/>
          <w:sz w:val="16"/>
          <w:szCs w:val="16"/>
        </w:rPr>
      </w:pPr>
      <w:r w:rsidRPr="00E1283C">
        <w:rPr>
          <w:color w:val="4C4C4C" w:themeColor="text2"/>
          <w:sz w:val="16"/>
          <w:szCs w:val="16"/>
          <w:vertAlign w:val="superscript"/>
        </w:rPr>
        <w:endnoteRef/>
      </w:r>
      <w:r w:rsidRPr="00E1283C">
        <w:rPr>
          <w:color w:val="4C4C4C" w:themeColor="text2"/>
          <w:sz w:val="16"/>
          <w:szCs w:val="16"/>
        </w:rPr>
        <w:t xml:space="preserve">Su Ye, “Minnesota Agricultural Profile,” Minnesota Department of Agriculture, 2015, </w:t>
      </w:r>
      <w:hyperlink r:id="rId188" w:history="1">
        <w:r w:rsidRPr="00E1283C">
          <w:rPr>
            <w:rStyle w:val="Hyperlink"/>
            <w:color w:val="4C4C4C" w:themeColor="text2"/>
            <w:sz w:val="16"/>
            <w:szCs w:val="16"/>
          </w:rPr>
          <w:t>https://www.mda.state.mn.us/~/media/Files/agprofile.ashx</w:t>
        </w:r>
      </w:hyperlink>
      <w:r w:rsidRPr="00E1283C">
        <w:rPr>
          <w:color w:val="4C4C4C" w:themeColor="text2"/>
          <w:sz w:val="16"/>
          <w:szCs w:val="16"/>
        </w:rPr>
        <w:t xml:space="preserve">  </w:t>
      </w:r>
    </w:p>
  </w:endnote>
  <w:endnote w:id="252">
    <w:p w14:paraId="76CD3D6B" w14:textId="77777777" w:rsidR="006506BB" w:rsidRPr="00E1283C" w:rsidRDefault="006506BB" w:rsidP="000A0551">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w:t>
      </w:r>
      <w:hyperlink r:id="rId189" w:history="1">
        <w:r w:rsidRPr="00E1283C">
          <w:rPr>
            <w:rStyle w:val="Hyperlink"/>
            <w:color w:val="4C4C4C" w:themeColor="text2"/>
            <w:sz w:val="16"/>
            <w:szCs w:val="16"/>
          </w:rPr>
          <w:t>The Aggregate Economic Impact of the Conservation Improvement Program 2008-2013</w:t>
        </w:r>
      </w:hyperlink>
      <w:r w:rsidRPr="00E1283C">
        <w:rPr>
          <w:color w:val="4C4C4C" w:themeColor="text2"/>
          <w:sz w:val="16"/>
          <w:szCs w:val="16"/>
        </w:rPr>
        <w:t xml:space="preserve">, prepared by Cadmus for the Minnesota Department of Commerce, October 2015 </w:t>
      </w:r>
    </w:p>
  </w:endnote>
  <w:endnote w:id="253">
    <w:p w14:paraId="3ABA1933" w14:textId="29301888" w:rsidR="006506BB" w:rsidRPr="00E1283C" w:rsidRDefault="006506BB" w:rsidP="000A0551">
      <w:pPr>
        <w:rPr>
          <w:color w:val="4C4C4C" w:themeColor="text2"/>
          <w:sz w:val="16"/>
          <w:szCs w:val="16"/>
        </w:rPr>
      </w:pPr>
      <w:r w:rsidRPr="00E1283C">
        <w:rPr>
          <w:color w:val="4C4C4C" w:themeColor="text2"/>
          <w:sz w:val="16"/>
          <w:szCs w:val="16"/>
          <w:vertAlign w:val="superscript"/>
        </w:rPr>
        <w:endnoteRef/>
      </w:r>
      <w:r w:rsidRPr="00E1283C">
        <w:rPr>
          <w:color w:val="4C4C4C" w:themeColor="text2"/>
          <w:sz w:val="16"/>
          <w:szCs w:val="16"/>
        </w:rPr>
        <w:t xml:space="preserve"> “</w:t>
      </w:r>
      <w:proofErr w:type="spellStart"/>
      <w:r w:rsidRPr="00E1283C">
        <w:rPr>
          <w:color w:val="4C4C4C" w:themeColor="text2"/>
          <w:sz w:val="16"/>
          <w:szCs w:val="16"/>
        </w:rPr>
        <w:t>MnTAP’s</w:t>
      </w:r>
      <w:proofErr w:type="spellEnd"/>
      <w:r w:rsidRPr="00E1283C">
        <w:rPr>
          <w:color w:val="4C4C4C" w:themeColor="text2"/>
          <w:sz w:val="16"/>
          <w:szCs w:val="16"/>
        </w:rPr>
        <w:t xml:space="preserve"> Annual Reports,” University of Minnesota, Minnesota Technical Assistance Programs, March 1, 2016, http://www.mntap.umn.edu/resources/annualreports.htm</w:t>
      </w:r>
    </w:p>
  </w:endnote>
  <w:endnote w:id="254">
    <w:p w14:paraId="10657F97" w14:textId="4E2B8B87" w:rsidR="006506BB" w:rsidRPr="00E1283C" w:rsidRDefault="006506BB" w:rsidP="000A0551">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“Efficiency,” Minnesota Department of Commerce, 2016, </w:t>
      </w:r>
      <w:hyperlink r:id="rId190" w:history="1">
        <w:r w:rsidRPr="00E1283C">
          <w:rPr>
            <w:rStyle w:val="Hyperlink"/>
            <w:color w:val="4C4C4C" w:themeColor="text2"/>
            <w:sz w:val="16"/>
            <w:szCs w:val="16"/>
          </w:rPr>
          <w:t>http://mn.gov/commerce/industries/energy/efficiency/</w:t>
        </w:r>
      </w:hyperlink>
      <w:r w:rsidRPr="00E1283C">
        <w:rPr>
          <w:color w:val="4C4C4C" w:themeColor="text2"/>
          <w:sz w:val="16"/>
          <w:szCs w:val="16"/>
        </w:rPr>
        <w:t xml:space="preserve"> </w:t>
      </w:r>
    </w:p>
  </w:endnote>
  <w:endnote w:id="255">
    <w:p w14:paraId="20DC70F7" w14:textId="1F712D79" w:rsidR="006506BB" w:rsidRPr="00E1283C" w:rsidRDefault="006506BB" w:rsidP="000A0551">
      <w:pPr>
        <w:rPr>
          <w:color w:val="4C4C4C" w:themeColor="text2"/>
          <w:sz w:val="16"/>
          <w:szCs w:val="16"/>
        </w:rPr>
      </w:pPr>
      <w:r w:rsidRPr="00E1283C">
        <w:rPr>
          <w:color w:val="4C4C4C" w:themeColor="text2"/>
          <w:sz w:val="16"/>
          <w:szCs w:val="16"/>
          <w:vertAlign w:val="superscript"/>
        </w:rPr>
        <w:endnoteRef/>
      </w:r>
      <w:r w:rsidRPr="00E1283C">
        <w:rPr>
          <w:color w:val="4C4C4C" w:themeColor="text2"/>
          <w:sz w:val="16"/>
          <w:szCs w:val="16"/>
        </w:rPr>
        <w:t xml:space="preserve"> “Ethanol,” Minnesota Department of Agriculture, 2016, </w:t>
      </w:r>
      <w:hyperlink r:id="rId191">
        <w:r w:rsidRPr="00E1283C">
          <w:rPr>
            <w:color w:val="4C4C4C" w:themeColor="text2"/>
            <w:sz w:val="16"/>
            <w:szCs w:val="16"/>
            <w:u w:val="single"/>
          </w:rPr>
          <w:t>http://www.mda.state.mn.us/renewable/ethanol.aspx</w:t>
        </w:r>
      </w:hyperlink>
    </w:p>
  </w:endnote>
  <w:endnote w:id="256">
    <w:p w14:paraId="43E6748B" w14:textId="38FF9C02" w:rsidR="006506BB" w:rsidRPr="00E1283C" w:rsidRDefault="006506BB" w:rsidP="000A0551">
      <w:pPr>
        <w:rPr>
          <w:color w:val="4C4C4C" w:themeColor="text2"/>
          <w:sz w:val="16"/>
          <w:szCs w:val="16"/>
        </w:rPr>
      </w:pPr>
      <w:r w:rsidRPr="00E1283C">
        <w:rPr>
          <w:color w:val="4C4C4C" w:themeColor="text2"/>
          <w:sz w:val="16"/>
          <w:szCs w:val="16"/>
          <w:vertAlign w:val="superscript"/>
        </w:rPr>
        <w:endnoteRef/>
      </w:r>
      <w:r w:rsidRPr="00E1283C">
        <w:rPr>
          <w:color w:val="4C4C4C" w:themeColor="text2"/>
          <w:sz w:val="16"/>
          <w:szCs w:val="16"/>
        </w:rPr>
        <w:t xml:space="preserve"> </w:t>
      </w:r>
      <w:r w:rsidRPr="00E1283C">
        <w:rPr>
          <w:i/>
          <w:color w:val="4C4C4C" w:themeColor="text2"/>
          <w:sz w:val="16"/>
          <w:szCs w:val="16"/>
        </w:rPr>
        <w:t>Report to the Legislature: Annual Report on Biodiesel,</w:t>
      </w:r>
      <w:r w:rsidRPr="00E1283C">
        <w:rPr>
          <w:color w:val="4C4C4C" w:themeColor="text2"/>
          <w:sz w:val="16"/>
          <w:szCs w:val="16"/>
        </w:rPr>
        <w:t xml:space="preserve"> Minnesota Department of Agriculture, January 15, 2016, </w:t>
      </w:r>
      <w:hyperlink r:id="rId192">
        <w:r w:rsidRPr="00E1283C">
          <w:rPr>
            <w:color w:val="4C4C4C" w:themeColor="text2"/>
            <w:sz w:val="16"/>
            <w:szCs w:val="16"/>
            <w:u w:val="single"/>
          </w:rPr>
          <w:t>http://www.mda.state.mn.us/news/government/~/media/Files/news/govrelations/legrpt-biodiesel16.pdf</w:t>
        </w:r>
      </w:hyperlink>
    </w:p>
  </w:endnote>
  <w:endnote w:id="257">
    <w:p w14:paraId="0CA7BD5C" w14:textId="20A8725E" w:rsidR="006506BB" w:rsidRPr="00E1283C" w:rsidRDefault="006506BB" w:rsidP="000A0551">
      <w:pPr>
        <w:rPr>
          <w:i/>
          <w:strike/>
          <w:color w:val="4C4C4C" w:themeColor="text2"/>
          <w:sz w:val="16"/>
          <w:szCs w:val="16"/>
        </w:rPr>
      </w:pPr>
      <w:r w:rsidRPr="00E1283C">
        <w:rPr>
          <w:color w:val="4C4C4C" w:themeColor="text2"/>
          <w:sz w:val="16"/>
          <w:szCs w:val="16"/>
          <w:vertAlign w:val="superscript"/>
        </w:rPr>
        <w:endnoteRef/>
      </w:r>
      <w:r w:rsidRPr="00E1283C">
        <w:rPr>
          <w:color w:val="4C4C4C" w:themeColor="text2"/>
          <w:sz w:val="16"/>
          <w:szCs w:val="16"/>
        </w:rPr>
        <w:t xml:space="preserve"> Minnesota's Clean Energy Economy Profile: How Industry Sectors are Advancing Economic Growth, p 5;  </w:t>
      </w:r>
      <w:hyperlink r:id="rId193" w:history="1">
        <w:r w:rsidRPr="00E1283C">
          <w:rPr>
            <w:rStyle w:val="Hyperlink"/>
            <w:color w:val="4C4C4C" w:themeColor="text2"/>
            <w:sz w:val="16"/>
            <w:szCs w:val="16"/>
          </w:rPr>
          <w:t>http://mn.gov/deed/images/mn_cleanenergy-economy-profile-fullreport.pdf</w:t>
        </w:r>
      </w:hyperlink>
    </w:p>
  </w:endnote>
  <w:endnote w:id="258">
    <w:p w14:paraId="47A3DBA3" w14:textId="6D49B9CE" w:rsidR="006506BB" w:rsidRPr="00E1283C" w:rsidRDefault="006506BB" w:rsidP="00FE7585">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Ralph Sims, Michael Taylor, and Jack Saddler, </w:t>
      </w:r>
      <w:r w:rsidRPr="00E1283C">
        <w:rPr>
          <w:i/>
          <w:color w:val="4C4C4C" w:themeColor="text2"/>
          <w:sz w:val="16"/>
          <w:szCs w:val="16"/>
        </w:rPr>
        <w:t>From 1</w:t>
      </w:r>
      <w:r w:rsidRPr="00E1283C">
        <w:rPr>
          <w:i/>
          <w:color w:val="4C4C4C" w:themeColor="text2"/>
          <w:sz w:val="16"/>
          <w:szCs w:val="16"/>
          <w:vertAlign w:val="superscript"/>
        </w:rPr>
        <w:t>st</w:t>
      </w:r>
      <w:r w:rsidRPr="00E1283C">
        <w:rPr>
          <w:i/>
          <w:color w:val="4C4C4C" w:themeColor="text2"/>
          <w:sz w:val="16"/>
          <w:szCs w:val="16"/>
        </w:rPr>
        <w:t>- to 2</w:t>
      </w:r>
      <w:r w:rsidRPr="00E1283C">
        <w:rPr>
          <w:i/>
          <w:color w:val="4C4C4C" w:themeColor="text2"/>
          <w:sz w:val="16"/>
          <w:szCs w:val="16"/>
          <w:vertAlign w:val="superscript"/>
        </w:rPr>
        <w:t>nd</w:t>
      </w:r>
      <w:r w:rsidRPr="00E1283C">
        <w:rPr>
          <w:i/>
          <w:color w:val="4C4C4C" w:themeColor="text2"/>
          <w:sz w:val="16"/>
          <w:szCs w:val="16"/>
        </w:rPr>
        <w:t xml:space="preserve">-Generation Biofuel Technologies: An overview of current industry and RD&amp;D activities, </w:t>
      </w:r>
      <w:r w:rsidRPr="00E1283C">
        <w:rPr>
          <w:color w:val="4C4C4C" w:themeColor="text2"/>
          <w:sz w:val="16"/>
          <w:szCs w:val="16"/>
        </w:rPr>
        <w:t>International Energy Agency, November 2008, I</w:t>
      </w:r>
      <w:r w:rsidRPr="00E1283C">
        <w:rPr>
          <w:color w:val="4C4C4C" w:themeColor="text2"/>
          <w:sz w:val="16"/>
          <w:szCs w:val="16"/>
          <w:lang w:val="it-IT"/>
        </w:rPr>
        <w:t>EA: https://www.iea.org/publications/freepublications/publication/2nd_Biofuel_Gen.pdf</w:t>
      </w:r>
    </w:p>
  </w:endnote>
  <w:endnote w:id="259">
    <w:p w14:paraId="05BFD0CF" w14:textId="3ED7EF49" w:rsidR="006506BB" w:rsidRPr="00CE3992" w:rsidRDefault="006506BB">
      <w:pPr>
        <w:pStyle w:val="EndnoteText"/>
      </w:pPr>
      <w:r w:rsidRPr="00E426AC">
        <w:rPr>
          <w:rStyle w:val="EndnoteReference"/>
          <w:sz w:val="16"/>
          <w:szCs w:val="16"/>
        </w:rPr>
        <w:endnoteRef/>
      </w:r>
      <w:r>
        <w:t xml:space="preserve"> </w:t>
      </w:r>
      <w:hyperlink r:id="rId194" w:history="1">
        <w:r w:rsidRPr="00CE3992">
          <w:rPr>
            <w:sz w:val="16"/>
            <w:szCs w:val="16"/>
          </w:rPr>
          <w:t>http://mn.gov/deed/business/help/first-stop/</w:t>
        </w:r>
      </w:hyperlink>
      <w:r>
        <w:rPr>
          <w:sz w:val="16"/>
          <w:szCs w:val="16"/>
        </w:rPr>
        <w:t xml:space="preserve"> </w:t>
      </w:r>
    </w:p>
  </w:endnote>
  <w:endnote w:id="260">
    <w:p w14:paraId="2F894F5E" w14:textId="77777777" w:rsidR="006506BB" w:rsidRPr="00E1283C" w:rsidRDefault="006506BB" w:rsidP="006F5A02">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“Renewable Energy,” Central Lakes College, accessed April 14, 2016, </w:t>
      </w:r>
      <w:hyperlink r:id="rId195" w:history="1">
        <w:r w:rsidRPr="00E1283C">
          <w:rPr>
            <w:rStyle w:val="Hyperlink"/>
            <w:rFonts w:cs="Lucida Grande"/>
            <w:color w:val="4C4C4C" w:themeColor="text2"/>
            <w:sz w:val="16"/>
            <w:szCs w:val="16"/>
          </w:rPr>
          <w:t>http://www.clcmn.edu/ag-energy-center/renewable-energy/</w:t>
        </w:r>
      </w:hyperlink>
      <w:r w:rsidRPr="00E1283C">
        <w:rPr>
          <w:rFonts w:cs="Lucida Grande"/>
          <w:color w:val="4C4C4C" w:themeColor="text2"/>
          <w:sz w:val="16"/>
          <w:szCs w:val="16"/>
        </w:rPr>
        <w:t xml:space="preserve">. </w:t>
      </w:r>
    </w:p>
  </w:endnote>
  <w:endnote w:id="261">
    <w:p w14:paraId="41B6967A" w14:textId="77777777" w:rsidR="006506BB" w:rsidRPr="00E1283C" w:rsidRDefault="006506BB" w:rsidP="006F5A02">
      <w:pPr>
        <w:pStyle w:val="EndnoteText"/>
        <w:rPr>
          <w:color w:val="4C4C4C" w:themeColor="text2"/>
          <w:sz w:val="16"/>
          <w:szCs w:val="16"/>
          <w:highlight w:val="yellow"/>
        </w:rPr>
      </w:pPr>
      <w:r w:rsidRPr="00E1283C">
        <w:rPr>
          <w:rStyle w:val="EndnoteReference"/>
          <w:color w:val="4C4C4C" w:themeColor="text2"/>
          <w:sz w:val="16"/>
          <w:szCs w:val="16"/>
        </w:rPr>
        <w:endnoteRef/>
      </w:r>
      <w:r w:rsidRPr="00E1283C">
        <w:rPr>
          <w:color w:val="4C4C4C" w:themeColor="text2"/>
          <w:sz w:val="16"/>
          <w:szCs w:val="16"/>
        </w:rPr>
        <w:t xml:space="preserve">  “Chemical Extractives Laboratory,” Natural Resources Research Institute, University of Minnesota Duluth, 2016, </w:t>
      </w:r>
      <w:hyperlink r:id="rId196" w:history="1">
        <w:r w:rsidRPr="00E1283C">
          <w:rPr>
            <w:rStyle w:val="Hyperlink"/>
            <w:rFonts w:cs="Lucida Grande"/>
            <w:color w:val="4C4C4C" w:themeColor="text2"/>
            <w:sz w:val="16"/>
            <w:szCs w:val="16"/>
          </w:rPr>
          <w:t>http://www.nrri.umn.edu/cartd/lce/default.htm</w:t>
        </w:r>
      </w:hyperlink>
      <w:r w:rsidRPr="00E1283C">
        <w:rPr>
          <w:rFonts w:cs="Lucida Grande"/>
          <w:color w:val="4C4C4C" w:themeColor="text2"/>
          <w:sz w:val="16"/>
          <w:szCs w:val="16"/>
        </w:rPr>
        <w:t xml:space="preserve"> </w:t>
      </w:r>
    </w:p>
  </w:endnote>
  <w:endnote w:id="262">
    <w:p w14:paraId="14B78B2F" w14:textId="77777777" w:rsidR="006506BB" w:rsidRPr="00E1283C" w:rsidRDefault="006506BB" w:rsidP="006F5A02">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“Forever Green research,” Center for Integrated Natural Resources &amp; Agricultural Management, University of Minnesota, 2016, </w:t>
      </w:r>
      <w:hyperlink r:id="rId197" w:history="1">
        <w:r w:rsidRPr="00E1283C">
          <w:rPr>
            <w:rStyle w:val="Hyperlink"/>
            <w:rFonts w:cs="Lucida Grande"/>
            <w:color w:val="4C4C4C" w:themeColor="text2"/>
            <w:sz w:val="16"/>
            <w:szCs w:val="16"/>
          </w:rPr>
          <w:t>http://www.cinram.umn.edu/projects/forevergreen/research</w:t>
        </w:r>
      </w:hyperlink>
      <w:r w:rsidRPr="00E1283C">
        <w:rPr>
          <w:rFonts w:cs="Lucida Grande"/>
          <w:color w:val="4C4C4C" w:themeColor="text2"/>
          <w:sz w:val="16"/>
          <w:szCs w:val="16"/>
        </w:rPr>
        <w:t xml:space="preserve"> </w:t>
      </w:r>
    </w:p>
  </w:endnote>
  <w:endnote w:id="263">
    <w:p w14:paraId="60633AC7" w14:textId="77777777" w:rsidR="006506BB" w:rsidRPr="00E1283C" w:rsidRDefault="006506BB" w:rsidP="006F5A02">
      <w:pPr>
        <w:pStyle w:val="EndnoteText"/>
        <w:rPr>
          <w:color w:val="4C4C4C" w:themeColor="text2"/>
          <w:sz w:val="16"/>
          <w:szCs w:val="16"/>
          <w:highlight w:val="yellow"/>
        </w:rPr>
      </w:pPr>
      <w:r w:rsidRPr="00E1283C">
        <w:rPr>
          <w:rStyle w:val="EndnoteReference"/>
          <w:color w:val="4C4C4C" w:themeColor="text2"/>
          <w:sz w:val="16"/>
          <w:szCs w:val="16"/>
        </w:rPr>
        <w:endnoteRef/>
      </w:r>
      <w:r w:rsidRPr="00E1283C">
        <w:rPr>
          <w:color w:val="4C4C4C" w:themeColor="text2"/>
          <w:sz w:val="16"/>
          <w:szCs w:val="16"/>
        </w:rPr>
        <w:t xml:space="preserve">  “Green Lands Blue Waters,” Green Lands Blue Waters, accessed April 14, 2016, </w:t>
      </w:r>
      <w:hyperlink r:id="rId198" w:history="1">
        <w:r w:rsidRPr="00E1283C">
          <w:rPr>
            <w:rStyle w:val="Hyperlink"/>
            <w:rFonts w:cs="Lucida Grande"/>
            <w:color w:val="4C4C4C" w:themeColor="text2"/>
            <w:sz w:val="16"/>
            <w:szCs w:val="16"/>
          </w:rPr>
          <w:t>http://greenlandsbluewaters.net/</w:t>
        </w:r>
      </w:hyperlink>
      <w:r w:rsidRPr="00E1283C">
        <w:rPr>
          <w:rFonts w:cs="Lucida Grande"/>
          <w:color w:val="4C4C4C" w:themeColor="text2"/>
          <w:sz w:val="16"/>
          <w:szCs w:val="16"/>
        </w:rPr>
        <w:t xml:space="preserve"> </w:t>
      </w:r>
    </w:p>
  </w:endnote>
  <w:endnote w:id="264">
    <w:p w14:paraId="59D2C0AE" w14:textId="77777777" w:rsidR="006506BB" w:rsidRPr="00E1283C" w:rsidRDefault="006506BB" w:rsidP="006F5A02">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“Research,” University of Minnesota Morris, 2016, </w:t>
      </w:r>
      <w:hyperlink r:id="rId199" w:history="1">
        <w:r w:rsidRPr="00E1283C">
          <w:rPr>
            <w:rStyle w:val="Hyperlink"/>
            <w:rFonts w:cs="Lucida Grande"/>
            <w:color w:val="4C4C4C" w:themeColor="text2"/>
            <w:sz w:val="16"/>
            <w:szCs w:val="16"/>
          </w:rPr>
          <w:t>https://www.morris.umn.edu/sustainability/research/</w:t>
        </w:r>
      </w:hyperlink>
      <w:r w:rsidRPr="00E1283C">
        <w:rPr>
          <w:rFonts w:cs="Lucida Grande"/>
          <w:color w:val="4C4C4C" w:themeColor="text2"/>
          <w:sz w:val="16"/>
          <w:szCs w:val="16"/>
        </w:rPr>
        <w:t xml:space="preserve"> </w:t>
      </w:r>
    </w:p>
  </w:endnote>
  <w:endnote w:id="265">
    <w:p w14:paraId="0536ABA1" w14:textId="77777777" w:rsidR="006506BB" w:rsidRPr="00E1283C" w:rsidRDefault="006506BB" w:rsidP="006F5A02">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“Minnesota’s next growth opportunity: </w:t>
      </w:r>
      <w:proofErr w:type="spellStart"/>
      <w:r w:rsidRPr="00E1283C">
        <w:rPr>
          <w:color w:val="4C4C4C" w:themeColor="text2"/>
          <w:sz w:val="16"/>
          <w:szCs w:val="16"/>
        </w:rPr>
        <w:t>Agbioscience</w:t>
      </w:r>
      <w:proofErr w:type="spellEnd"/>
      <w:r w:rsidRPr="00E1283C">
        <w:rPr>
          <w:color w:val="4C4C4C" w:themeColor="text2"/>
          <w:sz w:val="16"/>
          <w:szCs w:val="16"/>
        </w:rPr>
        <w:t xml:space="preserve"> leadership,” Agricultural Utilization Research Institute, 2016, </w:t>
      </w:r>
      <w:hyperlink r:id="rId200">
        <w:r w:rsidRPr="00E1283C">
          <w:rPr>
            <w:rStyle w:val="Hyperlink"/>
            <w:color w:val="4C4C4C" w:themeColor="text2"/>
            <w:sz w:val="16"/>
            <w:szCs w:val="16"/>
          </w:rPr>
          <w:t>http://www.auri.org/help/research/strategic-initiatives/</w:t>
        </w:r>
      </w:hyperlink>
    </w:p>
  </w:endnote>
  <w:endnote w:id="266">
    <w:p w14:paraId="7144CBDB" w14:textId="2EE5AAA9" w:rsidR="006506BB" w:rsidRPr="00AB3CF5" w:rsidRDefault="006506BB">
      <w:pPr>
        <w:pStyle w:val="EndnoteText"/>
        <w:rPr>
          <w:sz w:val="16"/>
          <w:szCs w:val="16"/>
        </w:rPr>
      </w:pPr>
      <w:r w:rsidRPr="00AB3CF5">
        <w:rPr>
          <w:rStyle w:val="EndnoteReference"/>
          <w:sz w:val="16"/>
          <w:szCs w:val="16"/>
        </w:rPr>
        <w:endnoteRef/>
      </w:r>
      <w:r w:rsidRPr="00AB3CF5">
        <w:rPr>
          <w:sz w:val="16"/>
          <w:szCs w:val="16"/>
        </w:rPr>
        <w:t xml:space="preserve"> </w:t>
      </w:r>
      <w:hyperlink r:id="rId201" w:history="1">
        <w:r w:rsidRPr="00D86725">
          <w:rPr>
            <w:rStyle w:val="Hyperlink"/>
            <w:sz w:val="16"/>
            <w:szCs w:val="16"/>
          </w:rPr>
          <w:t>http://www.auri.org/midwest-biomass-inventory-regional-bionenergy-studies-and-other-documents/</w:t>
        </w:r>
      </w:hyperlink>
      <w:r>
        <w:rPr>
          <w:sz w:val="16"/>
          <w:szCs w:val="16"/>
        </w:rPr>
        <w:t xml:space="preserve"> </w:t>
      </w:r>
    </w:p>
  </w:endnote>
  <w:endnote w:id="267">
    <w:p w14:paraId="1D62FFDB" w14:textId="77777777" w:rsidR="006506BB" w:rsidRPr="00E1283C" w:rsidRDefault="006506BB" w:rsidP="006F5A02">
      <w:pPr>
        <w:pStyle w:val="EndnoteText"/>
        <w:rPr>
          <w:color w:val="4C4C4C" w:themeColor="text2"/>
          <w:sz w:val="16"/>
          <w:szCs w:val="16"/>
          <w:highlight w:val="yellow"/>
        </w:rPr>
      </w:pPr>
      <w:r w:rsidRPr="00E1283C">
        <w:rPr>
          <w:rStyle w:val="EndnoteReference"/>
          <w:color w:val="4C4C4C" w:themeColor="text2"/>
          <w:sz w:val="16"/>
          <w:szCs w:val="16"/>
        </w:rPr>
        <w:endnoteRef/>
      </w:r>
      <w:r w:rsidRPr="00E1283C">
        <w:rPr>
          <w:color w:val="4C4C4C" w:themeColor="text2"/>
          <w:sz w:val="16"/>
          <w:szCs w:val="16"/>
        </w:rPr>
        <w:t xml:space="preserve"> “The Coalition,” Bioeconomy Coalition of Minnesota, 2013, </w:t>
      </w:r>
      <w:hyperlink r:id="rId202" w:history="1">
        <w:r w:rsidRPr="00E1283C">
          <w:rPr>
            <w:rStyle w:val="Hyperlink"/>
            <w:color w:val="4C4C4C" w:themeColor="text2"/>
            <w:sz w:val="16"/>
            <w:szCs w:val="16"/>
          </w:rPr>
          <w:t>http://mnbioeconomy.org/the-coalition/</w:t>
        </w:r>
      </w:hyperlink>
      <w:r w:rsidRPr="00E1283C">
        <w:rPr>
          <w:color w:val="4C4C4C" w:themeColor="text2"/>
          <w:sz w:val="16"/>
          <w:szCs w:val="16"/>
        </w:rPr>
        <w:t xml:space="preserve"> </w:t>
      </w:r>
    </w:p>
  </w:endnote>
  <w:endnote w:id="268">
    <w:p w14:paraId="79FE2928" w14:textId="77777777" w:rsidR="006506BB" w:rsidRPr="00E1283C" w:rsidRDefault="006506BB" w:rsidP="006F5A02">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w:t>
      </w:r>
      <w:proofErr w:type="spellStart"/>
      <w:r w:rsidRPr="00E1283C">
        <w:rPr>
          <w:color w:val="4C4C4C" w:themeColor="text2"/>
          <w:sz w:val="16"/>
          <w:szCs w:val="16"/>
        </w:rPr>
        <w:t>NatureWorks</w:t>
      </w:r>
      <w:proofErr w:type="spellEnd"/>
      <w:r w:rsidRPr="00E1283C">
        <w:rPr>
          <w:color w:val="4C4C4C" w:themeColor="text2"/>
          <w:sz w:val="16"/>
          <w:szCs w:val="16"/>
        </w:rPr>
        <w:t xml:space="preserve">,” </w:t>
      </w:r>
      <w:proofErr w:type="spellStart"/>
      <w:r w:rsidRPr="00E1283C">
        <w:rPr>
          <w:color w:val="4C4C4C" w:themeColor="text2"/>
          <w:sz w:val="16"/>
          <w:szCs w:val="16"/>
        </w:rPr>
        <w:t>NatureWorks</w:t>
      </w:r>
      <w:proofErr w:type="spellEnd"/>
      <w:r w:rsidRPr="00E1283C">
        <w:rPr>
          <w:color w:val="4C4C4C" w:themeColor="text2"/>
          <w:sz w:val="16"/>
          <w:szCs w:val="16"/>
        </w:rPr>
        <w:t xml:space="preserve"> LLC, 2016, </w:t>
      </w:r>
      <w:hyperlink r:id="rId203" w:history="1">
        <w:r w:rsidRPr="00E1283C">
          <w:rPr>
            <w:rStyle w:val="Hyperlink"/>
            <w:rFonts w:cs="Lucida Grande"/>
            <w:color w:val="4C4C4C" w:themeColor="text2"/>
            <w:sz w:val="16"/>
            <w:szCs w:val="16"/>
          </w:rPr>
          <w:t>http://www.natureworksllc.com/</w:t>
        </w:r>
      </w:hyperlink>
      <w:r w:rsidRPr="00E1283C">
        <w:rPr>
          <w:rFonts w:cs="Lucida Grande"/>
          <w:color w:val="4C4C4C" w:themeColor="text2"/>
          <w:sz w:val="16"/>
          <w:szCs w:val="16"/>
        </w:rPr>
        <w:t xml:space="preserve"> </w:t>
      </w:r>
    </w:p>
  </w:endnote>
  <w:endnote w:id="269">
    <w:p w14:paraId="43C7D560" w14:textId="77777777" w:rsidR="006506BB" w:rsidRPr="00E1283C" w:rsidRDefault="006506BB" w:rsidP="006F5A02">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“Central MN Renewables,” DTN, accessed April 14, 2016, </w:t>
      </w:r>
      <w:hyperlink r:id="rId204" w:history="1">
        <w:r w:rsidRPr="00E1283C">
          <w:rPr>
            <w:rStyle w:val="Hyperlink"/>
            <w:rFonts w:cs="Lucida Grande"/>
            <w:color w:val="4C4C4C" w:themeColor="text2"/>
            <w:sz w:val="16"/>
            <w:szCs w:val="16"/>
          </w:rPr>
          <w:t>http://www.centralmnethanol.com/</w:t>
        </w:r>
      </w:hyperlink>
      <w:r w:rsidRPr="00E1283C">
        <w:rPr>
          <w:rFonts w:cs="Lucida Grande"/>
          <w:color w:val="4C4C4C" w:themeColor="text2"/>
          <w:sz w:val="16"/>
          <w:szCs w:val="16"/>
        </w:rPr>
        <w:t xml:space="preserve"> </w:t>
      </w:r>
    </w:p>
  </w:endnote>
  <w:endnote w:id="270">
    <w:p w14:paraId="64519EB0" w14:textId="77777777" w:rsidR="006506BB" w:rsidRPr="00E1283C" w:rsidRDefault="006506BB" w:rsidP="006F5A02">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w:t>
      </w:r>
      <w:proofErr w:type="spellStart"/>
      <w:r w:rsidRPr="00E1283C">
        <w:rPr>
          <w:color w:val="4C4C4C" w:themeColor="text2"/>
          <w:sz w:val="16"/>
          <w:szCs w:val="16"/>
        </w:rPr>
        <w:t>Gevo</w:t>
      </w:r>
      <w:proofErr w:type="spellEnd"/>
      <w:r w:rsidRPr="00E1283C">
        <w:rPr>
          <w:color w:val="4C4C4C" w:themeColor="text2"/>
          <w:sz w:val="16"/>
          <w:szCs w:val="16"/>
        </w:rPr>
        <w:t xml:space="preserve">,” </w:t>
      </w:r>
      <w:proofErr w:type="spellStart"/>
      <w:r w:rsidRPr="00E1283C">
        <w:rPr>
          <w:color w:val="4C4C4C" w:themeColor="text2"/>
          <w:sz w:val="16"/>
          <w:szCs w:val="16"/>
        </w:rPr>
        <w:t>Gevo</w:t>
      </w:r>
      <w:proofErr w:type="spellEnd"/>
      <w:r w:rsidRPr="00E1283C">
        <w:rPr>
          <w:color w:val="4C4C4C" w:themeColor="text2"/>
          <w:sz w:val="16"/>
          <w:szCs w:val="16"/>
        </w:rPr>
        <w:t xml:space="preserve">, 2016, </w:t>
      </w:r>
      <w:hyperlink r:id="rId205" w:history="1">
        <w:r w:rsidRPr="00E1283C">
          <w:rPr>
            <w:rStyle w:val="Hyperlink"/>
            <w:rFonts w:cs="Lucida Grande"/>
            <w:color w:val="4C4C4C" w:themeColor="text2"/>
            <w:sz w:val="16"/>
            <w:szCs w:val="16"/>
          </w:rPr>
          <w:t>http://www.gevo.com/</w:t>
        </w:r>
      </w:hyperlink>
      <w:r w:rsidRPr="00E1283C">
        <w:rPr>
          <w:rFonts w:cs="Lucida Grande"/>
          <w:color w:val="4C4C4C" w:themeColor="text2"/>
          <w:sz w:val="16"/>
          <w:szCs w:val="16"/>
        </w:rPr>
        <w:t xml:space="preserve"> </w:t>
      </w:r>
    </w:p>
  </w:endnote>
  <w:endnote w:id="271">
    <w:p w14:paraId="2A41A579" w14:textId="77777777" w:rsidR="006506BB" w:rsidRPr="00E1283C" w:rsidRDefault="006506BB" w:rsidP="006F5A02">
      <w:pPr>
        <w:rPr>
          <w:color w:val="4C4C4C" w:themeColor="text2"/>
          <w:sz w:val="16"/>
          <w:szCs w:val="16"/>
        </w:rPr>
      </w:pPr>
      <w:r w:rsidRPr="00E1283C">
        <w:rPr>
          <w:color w:val="4C4C4C" w:themeColor="text2"/>
          <w:sz w:val="16"/>
          <w:szCs w:val="16"/>
          <w:vertAlign w:val="superscript"/>
        </w:rPr>
        <w:endnoteRef/>
      </w:r>
      <w:r w:rsidRPr="00E1283C">
        <w:rPr>
          <w:color w:val="4C4C4C" w:themeColor="text2"/>
          <w:sz w:val="16"/>
          <w:szCs w:val="16"/>
          <w:lang w:val="it-IT"/>
        </w:rPr>
        <w:t xml:space="preserve"> </w:t>
      </w:r>
      <w:r w:rsidRPr="00E1283C">
        <w:rPr>
          <w:color w:val="4C4C4C" w:themeColor="text2"/>
          <w:sz w:val="16"/>
          <w:szCs w:val="16"/>
        </w:rPr>
        <w:t xml:space="preserve">Minnesota Biofuel Infrastructure Partnership,” Minnesota Department of Agriculture, 2016, </w:t>
      </w:r>
      <w:hyperlink r:id="rId206">
        <w:r w:rsidRPr="00E1283C">
          <w:rPr>
            <w:color w:val="4C4C4C" w:themeColor="text2"/>
            <w:sz w:val="16"/>
            <w:szCs w:val="16"/>
            <w:u w:val="single"/>
          </w:rPr>
          <w:t>http://www.mda.state.mn.us/grants/grants/mnbiofuel.aspx</w:t>
        </w:r>
      </w:hyperlink>
      <w:r w:rsidRPr="00E1283C">
        <w:rPr>
          <w:color w:val="4C4C4C" w:themeColor="text2"/>
          <w:sz w:val="16"/>
          <w:szCs w:val="16"/>
          <w:u w:val="single"/>
        </w:rPr>
        <w:t xml:space="preserve">. </w:t>
      </w:r>
      <w:r w:rsidRPr="00E1283C">
        <w:rPr>
          <w:color w:val="4C4C4C" w:themeColor="text2"/>
          <w:sz w:val="16"/>
          <w:szCs w:val="16"/>
        </w:rPr>
        <w:t xml:space="preserve"> </w:t>
      </w:r>
    </w:p>
  </w:endnote>
  <w:endnote w:id="272">
    <w:p w14:paraId="3375DD23" w14:textId="77777777" w:rsidR="006506BB" w:rsidRPr="00E1283C" w:rsidRDefault="006506BB" w:rsidP="006F5A02">
      <w:pPr>
        <w:rPr>
          <w:color w:val="4C4C4C" w:themeColor="text2"/>
          <w:sz w:val="16"/>
          <w:szCs w:val="16"/>
          <w:lang w:val="it-IT"/>
        </w:rPr>
      </w:pPr>
      <w:r w:rsidRPr="00E1283C">
        <w:rPr>
          <w:color w:val="4C4C4C" w:themeColor="text2"/>
          <w:sz w:val="16"/>
          <w:szCs w:val="16"/>
          <w:vertAlign w:val="superscript"/>
        </w:rPr>
        <w:endnoteRef/>
      </w:r>
      <w:r w:rsidRPr="00E1283C">
        <w:rPr>
          <w:color w:val="4C4C4C" w:themeColor="text2"/>
          <w:sz w:val="16"/>
          <w:szCs w:val="16"/>
          <w:lang w:val="it-IT"/>
        </w:rPr>
        <w:t xml:space="preserve"> </w:t>
      </w:r>
      <w:r w:rsidRPr="00E1283C">
        <w:rPr>
          <w:color w:val="4C4C4C" w:themeColor="text2"/>
          <w:sz w:val="16"/>
          <w:szCs w:val="16"/>
        </w:rPr>
        <w:t xml:space="preserve">“Minnesota awarded $8 million to invest in biofuel infrastructure,” Minnesota Department of Agriculture, 2016, </w:t>
      </w:r>
      <w:hyperlink r:id="rId207" w:history="1">
        <w:r w:rsidRPr="00E1283C">
          <w:rPr>
            <w:rStyle w:val="Hyperlink"/>
            <w:color w:val="4C4C4C" w:themeColor="text2"/>
            <w:sz w:val="16"/>
            <w:szCs w:val="16"/>
          </w:rPr>
          <w:t>http://www.mda.state.mn.us/news/releases/2015/nr20151028-biofuel.aspx</w:t>
        </w:r>
      </w:hyperlink>
      <w:r w:rsidRPr="00E1283C">
        <w:rPr>
          <w:color w:val="4C4C4C" w:themeColor="text2"/>
          <w:sz w:val="16"/>
          <w:szCs w:val="16"/>
        </w:rPr>
        <w:t>.</w:t>
      </w:r>
    </w:p>
  </w:endnote>
  <w:endnote w:id="273">
    <w:p w14:paraId="4BB15ACF" w14:textId="77777777" w:rsidR="006506BB" w:rsidRPr="00E1283C" w:rsidRDefault="006506BB" w:rsidP="006F5A02">
      <w:pPr>
        <w:pStyle w:val="EndnoteText"/>
        <w:rPr>
          <w:color w:val="4C4C4C" w:themeColor="text2"/>
          <w:sz w:val="16"/>
          <w:szCs w:val="16"/>
          <w:highlight w:val="yellow"/>
        </w:rPr>
      </w:pPr>
      <w:r w:rsidRPr="00E1283C">
        <w:rPr>
          <w:rStyle w:val="EndnoteReference"/>
          <w:color w:val="4C4C4C" w:themeColor="text2"/>
          <w:sz w:val="16"/>
          <w:szCs w:val="16"/>
        </w:rPr>
        <w:endnoteRef/>
      </w:r>
      <w:r w:rsidRPr="00E1283C">
        <w:rPr>
          <w:color w:val="4C4C4C" w:themeColor="text2"/>
          <w:sz w:val="16"/>
          <w:szCs w:val="16"/>
        </w:rPr>
        <w:t xml:space="preserve"> “Bioeconomy Production Incentive Program Summary,” Great Plains Institute, no date, </w:t>
      </w:r>
      <w:hyperlink r:id="rId208" w:history="1">
        <w:r w:rsidRPr="00E1283C">
          <w:rPr>
            <w:rStyle w:val="Hyperlink"/>
            <w:color w:val="4C4C4C" w:themeColor="text2"/>
            <w:sz w:val="16"/>
            <w:szCs w:val="16"/>
          </w:rPr>
          <w:t>http://www.betterenergy.org/sites/www.betterenergy.org/files/Summary_BioeconomyProductionIncentive.pdf</w:t>
        </w:r>
      </w:hyperlink>
      <w:r w:rsidRPr="00E1283C">
        <w:rPr>
          <w:color w:val="4C4C4C" w:themeColor="text2"/>
          <w:sz w:val="16"/>
          <w:szCs w:val="16"/>
          <w:highlight w:val="yellow"/>
        </w:rPr>
        <w:t xml:space="preserve"> </w:t>
      </w:r>
    </w:p>
  </w:endnote>
  <w:endnote w:id="274">
    <w:p w14:paraId="6DF5A1E5" w14:textId="77777777" w:rsidR="006506BB" w:rsidRPr="00E1283C" w:rsidRDefault="006506BB" w:rsidP="006F5A02">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“Agricultural Growth, Research, and Innovation (AGRI) Program,” Minnesota Department of Agriculture, 2016, </w:t>
      </w:r>
      <w:hyperlink r:id="rId209" w:history="1">
        <w:r w:rsidRPr="00E1283C">
          <w:rPr>
            <w:rStyle w:val="Hyperlink"/>
            <w:color w:val="4C4C4C" w:themeColor="text2"/>
            <w:sz w:val="16"/>
            <w:szCs w:val="16"/>
          </w:rPr>
          <w:t>http://www.mda.state.mn.us/grants/agri.aspx</w:t>
        </w:r>
      </w:hyperlink>
      <w:r w:rsidRPr="00E1283C">
        <w:rPr>
          <w:color w:val="4C4C4C" w:themeColor="text2"/>
          <w:sz w:val="16"/>
          <w:szCs w:val="16"/>
        </w:rPr>
        <w:t xml:space="preserve"> </w:t>
      </w:r>
    </w:p>
  </w:endnote>
  <w:endnote w:id="275">
    <w:p w14:paraId="0350C136" w14:textId="77777777" w:rsidR="006506BB" w:rsidRPr="00E1283C" w:rsidRDefault="006506BB" w:rsidP="006F5A02">
      <w:pPr>
        <w:pStyle w:val="EndnoteText"/>
        <w:rPr>
          <w:color w:val="4C4C4C" w:themeColor="text2"/>
          <w:sz w:val="16"/>
          <w:szCs w:val="16"/>
          <w:highlight w:val="yellow"/>
        </w:rPr>
      </w:pPr>
      <w:r w:rsidRPr="00E1283C">
        <w:rPr>
          <w:rStyle w:val="EndnoteReference"/>
          <w:color w:val="4C4C4C" w:themeColor="text2"/>
          <w:sz w:val="16"/>
          <w:szCs w:val="16"/>
        </w:rPr>
        <w:endnoteRef/>
      </w:r>
      <w:r w:rsidRPr="00E1283C">
        <w:rPr>
          <w:color w:val="4C4C4C" w:themeColor="text2"/>
          <w:sz w:val="16"/>
          <w:szCs w:val="16"/>
        </w:rPr>
        <w:t xml:space="preserve"> “Iron Range Resources &amp; Rehabilitation Board,” Iron Range Resources &amp; Rehabilitation Board, accessed April 12, 2016, </w:t>
      </w:r>
      <w:hyperlink r:id="rId210" w:history="1">
        <w:r w:rsidRPr="00E1283C">
          <w:rPr>
            <w:rStyle w:val="Hyperlink"/>
            <w:color w:val="4C4C4C" w:themeColor="text2"/>
            <w:sz w:val="16"/>
            <w:szCs w:val="16"/>
          </w:rPr>
          <w:t>http://mn.gov/irrrb</w:t>
        </w:r>
      </w:hyperlink>
      <w:r w:rsidRPr="00E1283C">
        <w:rPr>
          <w:color w:val="4C4C4C" w:themeColor="text2"/>
          <w:sz w:val="16"/>
          <w:szCs w:val="16"/>
        </w:rPr>
        <w:t xml:space="preserve"> </w:t>
      </w:r>
    </w:p>
  </w:endnote>
  <w:endnote w:id="276">
    <w:p w14:paraId="4C10E133" w14:textId="77777777" w:rsidR="006506BB" w:rsidRPr="00E1283C" w:rsidRDefault="006506BB" w:rsidP="006F5A02">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“41A.14 Agriculture Research, Education, Extension, and Technology Transfer Grant Program,” the </w:t>
      </w:r>
      <w:proofErr w:type="spellStart"/>
      <w:r w:rsidRPr="00E1283C">
        <w:rPr>
          <w:color w:val="4C4C4C" w:themeColor="text2"/>
          <w:sz w:val="16"/>
          <w:szCs w:val="16"/>
        </w:rPr>
        <w:t>Revisor</w:t>
      </w:r>
      <w:proofErr w:type="spellEnd"/>
      <w:r w:rsidRPr="00E1283C">
        <w:rPr>
          <w:color w:val="4C4C4C" w:themeColor="text2"/>
          <w:sz w:val="16"/>
          <w:szCs w:val="16"/>
        </w:rPr>
        <w:t xml:space="preserve"> of Statutes, State of Minnesota, 2015, </w:t>
      </w:r>
      <w:hyperlink r:id="rId211" w:history="1">
        <w:r w:rsidRPr="00E1283C">
          <w:rPr>
            <w:rStyle w:val="Hyperlink"/>
            <w:color w:val="4C4C4C" w:themeColor="text2"/>
            <w:sz w:val="16"/>
            <w:szCs w:val="16"/>
          </w:rPr>
          <w:t>https://www.revisor.mn.gov/statutes/?id=41A.14</w:t>
        </w:r>
      </w:hyperlink>
      <w:r w:rsidRPr="00E1283C">
        <w:rPr>
          <w:color w:val="4C4C4C" w:themeColor="text2"/>
          <w:sz w:val="16"/>
          <w:szCs w:val="16"/>
        </w:rPr>
        <w:t xml:space="preserve"> </w:t>
      </w:r>
    </w:p>
  </w:endnote>
  <w:endnote w:id="277">
    <w:p w14:paraId="60BCF669" w14:textId="77777777" w:rsidR="006506BB" w:rsidRPr="00E1283C" w:rsidRDefault="006506BB" w:rsidP="00627DFC">
      <w:pPr>
        <w:pStyle w:val="EndnoteText"/>
        <w:rPr>
          <w:color w:val="4C4C4C" w:themeColor="text2"/>
          <w:sz w:val="16"/>
          <w:szCs w:val="16"/>
          <w:highlight w:val="yellow"/>
        </w:rPr>
      </w:pPr>
      <w:r w:rsidRPr="00E1283C">
        <w:rPr>
          <w:rStyle w:val="EndnoteReference"/>
          <w:color w:val="4C4C4C" w:themeColor="text2"/>
          <w:sz w:val="16"/>
          <w:szCs w:val="16"/>
        </w:rPr>
        <w:endnoteRef/>
      </w:r>
      <w:r w:rsidRPr="00E1283C">
        <w:rPr>
          <w:color w:val="4C4C4C" w:themeColor="text2"/>
          <w:sz w:val="16"/>
          <w:szCs w:val="16"/>
        </w:rPr>
        <w:t xml:space="preserve"> “Bioenergy Technologies Office,” U.S. Department of </w:t>
      </w:r>
      <w:proofErr w:type="spellStart"/>
      <w:r w:rsidRPr="00E1283C">
        <w:rPr>
          <w:color w:val="4C4C4C" w:themeColor="text2"/>
          <w:sz w:val="16"/>
          <w:szCs w:val="16"/>
        </w:rPr>
        <w:t>Enregy</w:t>
      </w:r>
      <w:proofErr w:type="spellEnd"/>
      <w:r w:rsidRPr="00E1283C">
        <w:rPr>
          <w:color w:val="4C4C4C" w:themeColor="text2"/>
          <w:sz w:val="16"/>
          <w:szCs w:val="16"/>
        </w:rPr>
        <w:t xml:space="preserve">, Office of Energy Efficiency and Renewable Energy, accessed April 12, 2016, </w:t>
      </w:r>
      <w:hyperlink r:id="rId212" w:history="1">
        <w:r w:rsidRPr="00E1283C">
          <w:rPr>
            <w:rStyle w:val="Hyperlink"/>
            <w:color w:val="4C4C4C" w:themeColor="text2"/>
            <w:sz w:val="16"/>
            <w:szCs w:val="16"/>
          </w:rPr>
          <w:t>http://www.energy.gov/eere/bioenergy/bioenergy-technologies-office</w:t>
        </w:r>
      </w:hyperlink>
      <w:r w:rsidRPr="00E1283C">
        <w:rPr>
          <w:color w:val="4C4C4C" w:themeColor="text2"/>
          <w:sz w:val="16"/>
          <w:szCs w:val="16"/>
        </w:rPr>
        <w:t xml:space="preserve"> </w:t>
      </w:r>
    </w:p>
  </w:endnote>
  <w:endnote w:id="278">
    <w:p w14:paraId="4C460178" w14:textId="77777777" w:rsidR="006506BB" w:rsidRPr="00E1283C" w:rsidRDefault="006506BB" w:rsidP="00627DFC">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“Energy Programs,” United States Department of Agriculture, Rural Development, accessed April 12, 2016, </w:t>
      </w:r>
      <w:hyperlink r:id="rId213" w:history="1">
        <w:r w:rsidRPr="00E1283C">
          <w:rPr>
            <w:rStyle w:val="Hyperlink"/>
            <w:color w:val="4C4C4C" w:themeColor="text2"/>
            <w:sz w:val="16"/>
            <w:szCs w:val="16"/>
          </w:rPr>
          <w:t>http://www.rd.usda.gov/programs-services/all-programs/energy-programs</w:t>
        </w:r>
      </w:hyperlink>
      <w:r w:rsidRPr="00E1283C">
        <w:rPr>
          <w:color w:val="4C4C4C" w:themeColor="text2"/>
          <w:sz w:val="16"/>
          <w:szCs w:val="16"/>
        </w:rPr>
        <w:t xml:space="preserve"> </w:t>
      </w:r>
    </w:p>
  </w:endnote>
  <w:endnote w:id="279">
    <w:p w14:paraId="704D583B" w14:textId="1F559743" w:rsidR="000B746F" w:rsidRPr="00E1283C" w:rsidRDefault="000B746F" w:rsidP="000B746F">
      <w:pPr>
        <w:pStyle w:val="EndnoteText"/>
        <w:rPr>
          <w:color w:val="4C4C4C" w:themeColor="text2"/>
          <w:sz w:val="16"/>
          <w:szCs w:val="16"/>
        </w:rPr>
      </w:pPr>
      <w:r w:rsidRPr="00E1283C">
        <w:rPr>
          <w:rStyle w:val="EndnoteReference"/>
          <w:color w:val="4C4C4C" w:themeColor="text2"/>
          <w:sz w:val="16"/>
          <w:szCs w:val="16"/>
        </w:rPr>
        <w:endnoteRef/>
      </w:r>
      <w:r>
        <w:rPr>
          <w:color w:val="4C4C4C" w:themeColor="text2"/>
          <w:sz w:val="16"/>
          <w:szCs w:val="16"/>
        </w:rPr>
        <w:t xml:space="preserve"> </w:t>
      </w:r>
      <w:r w:rsidRPr="000B746F">
        <w:rPr>
          <w:color w:val="4C4C4C" w:themeColor="text2"/>
          <w:sz w:val="16"/>
          <w:szCs w:val="16"/>
        </w:rPr>
        <w:t>“</w:t>
      </w:r>
      <w:r>
        <w:rPr>
          <w:color w:val="4C4C4C" w:themeColor="text2"/>
          <w:sz w:val="16"/>
          <w:szCs w:val="16"/>
        </w:rPr>
        <w:t>Great Lakes Region</w:t>
      </w:r>
      <w:r w:rsidRPr="000B746F">
        <w:rPr>
          <w:color w:val="4C4C4C" w:themeColor="text2"/>
          <w:sz w:val="16"/>
          <w:szCs w:val="16"/>
        </w:rPr>
        <w:t xml:space="preserve"> Food Industry Biogas Casebook,” Energy Center of Wisconsin, August 2011</w:t>
      </w:r>
      <w:r>
        <w:rPr>
          <w:color w:val="4C4C4C" w:themeColor="text2"/>
          <w:sz w:val="16"/>
          <w:szCs w:val="16"/>
        </w:rPr>
        <w:t xml:space="preserve">, </w:t>
      </w:r>
      <w:hyperlink r:id="rId214" w:history="1">
        <w:r w:rsidRPr="00E22C4F">
          <w:rPr>
            <w:rStyle w:val="Hyperlink"/>
            <w:sz w:val="16"/>
            <w:szCs w:val="16"/>
          </w:rPr>
          <w:t>http://www.seventhwave.org/sites/default/files/261-1.pdf</w:t>
        </w:r>
      </w:hyperlink>
      <w:r>
        <w:rPr>
          <w:color w:val="4C4C4C" w:themeColor="text2"/>
          <w:sz w:val="16"/>
          <w:szCs w:val="16"/>
        </w:rPr>
        <w:t xml:space="preserve"> </w:t>
      </w:r>
    </w:p>
  </w:endnote>
  <w:endnote w:id="280">
    <w:p w14:paraId="731C42C6" w14:textId="387C6A61" w:rsidR="000B746F" w:rsidRPr="00E1283C" w:rsidRDefault="000B746F" w:rsidP="000B746F">
      <w:pPr>
        <w:pStyle w:val="EndnoteText"/>
        <w:rPr>
          <w:color w:val="4C4C4C" w:themeColor="text2"/>
          <w:sz w:val="16"/>
          <w:szCs w:val="16"/>
        </w:rPr>
      </w:pPr>
      <w:r w:rsidRPr="00E1283C">
        <w:rPr>
          <w:rStyle w:val="EndnoteReference"/>
          <w:color w:val="4C4C4C" w:themeColor="text2"/>
          <w:sz w:val="16"/>
          <w:szCs w:val="16"/>
        </w:rPr>
        <w:endnoteRef/>
      </w:r>
      <w:r>
        <w:rPr>
          <w:color w:val="4C4C4C" w:themeColor="text2"/>
          <w:sz w:val="16"/>
          <w:szCs w:val="16"/>
        </w:rPr>
        <w:t xml:space="preserve"> </w:t>
      </w:r>
      <w:r w:rsidRPr="000B746F">
        <w:rPr>
          <w:color w:val="4C4C4C" w:themeColor="text2"/>
          <w:sz w:val="16"/>
          <w:szCs w:val="16"/>
        </w:rPr>
        <w:t>“Seneca Foods Corporation Renewable Methane from Vegetable Processing Industry Final Report,” Minnesota Department of Commerce, December 2009</w:t>
      </w:r>
      <w:r>
        <w:rPr>
          <w:color w:val="4C4C4C" w:themeColor="text2"/>
          <w:sz w:val="16"/>
          <w:szCs w:val="16"/>
        </w:rPr>
        <w:t xml:space="preserve">, </w:t>
      </w:r>
      <w:r w:rsidRPr="000B746F">
        <w:rPr>
          <w:color w:val="4C4C4C" w:themeColor="text2"/>
          <w:sz w:val="16"/>
          <w:szCs w:val="16"/>
        </w:rPr>
        <w:t>https://www.cards.commerce.state.mn.us/CARDS/security/search.do?method=showPoup&amp;documentId={DCD9C4FC-38F3-41B8-AF49-566E775CD2A3}&amp;documentTitle=22819&amp;documentType=6</w:t>
      </w:r>
      <w:r w:rsidRPr="00E1283C">
        <w:rPr>
          <w:color w:val="4C4C4C" w:themeColor="text2"/>
          <w:sz w:val="16"/>
          <w:szCs w:val="16"/>
        </w:rPr>
        <w:t xml:space="preserve"> </w:t>
      </w:r>
    </w:p>
  </w:endnote>
  <w:endnote w:id="281">
    <w:p w14:paraId="10A9DB4F" w14:textId="77777777" w:rsidR="006506BB" w:rsidRPr="00E1283C" w:rsidRDefault="006506BB" w:rsidP="00A64731">
      <w:pPr>
        <w:pStyle w:val="EndnoteText"/>
        <w:rPr>
          <w:color w:val="4C4C4C" w:themeColor="text2"/>
          <w:sz w:val="16"/>
          <w:szCs w:val="16"/>
          <w:highlight w:val="yellow"/>
        </w:rPr>
      </w:pPr>
      <w:r w:rsidRPr="00E1283C">
        <w:rPr>
          <w:rStyle w:val="EndnoteReference"/>
          <w:color w:val="4C4C4C" w:themeColor="text2"/>
          <w:sz w:val="16"/>
          <w:szCs w:val="16"/>
        </w:rPr>
        <w:endnoteRef/>
      </w:r>
      <w:r w:rsidRPr="00E1283C">
        <w:rPr>
          <w:color w:val="4C4C4C" w:themeColor="text2"/>
          <w:sz w:val="16"/>
          <w:szCs w:val="16"/>
        </w:rPr>
        <w:t xml:space="preserve"> “Residential, Commercial, Industrial and Institutional (RCII) #5: Incentives and Resources to Promote Thermal Renewables,” The Center for Climate Strategies, Inc., December 14, 2014,  http://www.environmental-initiative.org/images/files/CSEO/RCII-5 Thermal Renewable Incentives and Resources.pdf</w:t>
      </w:r>
    </w:p>
  </w:endnote>
  <w:endnote w:id="282">
    <w:p w14:paraId="27742BDA" w14:textId="77777777" w:rsidR="006506BB" w:rsidRPr="00E1283C" w:rsidRDefault="006506BB" w:rsidP="003706B9">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w:t>
      </w:r>
      <w:r w:rsidRPr="00E1283C">
        <w:rPr>
          <w:i/>
          <w:color w:val="4C4C4C" w:themeColor="text2"/>
          <w:sz w:val="16"/>
          <w:szCs w:val="16"/>
        </w:rPr>
        <w:t>Biogas Opportunities Roadmap Progress Report</w:t>
      </w:r>
      <w:r w:rsidRPr="00E1283C">
        <w:rPr>
          <w:color w:val="4C4C4C" w:themeColor="text2"/>
          <w:sz w:val="16"/>
          <w:szCs w:val="16"/>
        </w:rPr>
        <w:t>, U.S. Department of Agriculture, U.S. Environmental Protection Agency, U.S. Department of Energy, December 2015, http://www.energy.gov/sites/prod/files/2015/12/f27/biogas_opportunites_roadmap_progress_report_0.pdf</w:t>
      </w:r>
    </w:p>
  </w:endnote>
  <w:endnote w:id="283">
    <w:p w14:paraId="459E2A1E" w14:textId="77777777" w:rsidR="006506BB" w:rsidRPr="00E1283C" w:rsidRDefault="006506BB" w:rsidP="00762F2B">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lang w:val="it-IT"/>
        </w:rPr>
        <w:t xml:space="preserve"> </w:t>
      </w:r>
      <w:r w:rsidRPr="00E1283C">
        <w:rPr>
          <w:i/>
          <w:color w:val="4C4C4C" w:themeColor="text2"/>
          <w:sz w:val="16"/>
          <w:szCs w:val="16"/>
        </w:rPr>
        <w:t xml:space="preserve">Barriers to Industry Energy Efficiency: Report to Congress, </w:t>
      </w:r>
      <w:r w:rsidRPr="00E1283C">
        <w:rPr>
          <w:color w:val="4C4C4C" w:themeColor="text2"/>
          <w:sz w:val="16"/>
          <w:szCs w:val="16"/>
        </w:rPr>
        <w:t xml:space="preserve">U.S. Department of Energy, June 2015, </w:t>
      </w:r>
      <w:hyperlink r:id="rId215" w:history="1">
        <w:r w:rsidRPr="00E1283C">
          <w:rPr>
            <w:rStyle w:val="Hyperlink"/>
            <w:color w:val="4C4C4C" w:themeColor="text2"/>
            <w:sz w:val="16"/>
            <w:szCs w:val="16"/>
          </w:rPr>
          <w:t>http://energy.gov/sites/prod/files/2015/06/f23/EXEC-2014-005846_6%20Report_signed_v2.pdf</w:t>
        </w:r>
      </w:hyperlink>
      <w:r w:rsidRPr="00E1283C">
        <w:rPr>
          <w:color w:val="4C4C4C" w:themeColor="text2"/>
          <w:sz w:val="16"/>
          <w:szCs w:val="16"/>
        </w:rPr>
        <w:t xml:space="preserve">. </w:t>
      </w:r>
    </w:p>
  </w:endnote>
  <w:endnote w:id="284">
    <w:p w14:paraId="7032B4B2" w14:textId="77777777" w:rsidR="00C727C7" w:rsidRPr="00E1283C" w:rsidRDefault="00C727C7" w:rsidP="00C727C7">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lang w:val="it-IT"/>
        </w:rPr>
        <w:t xml:space="preserve"> </w:t>
      </w:r>
      <w:r>
        <w:rPr>
          <w:i/>
          <w:color w:val="4C4C4C" w:themeColor="text2"/>
          <w:sz w:val="16"/>
          <w:szCs w:val="16"/>
        </w:rPr>
        <w:t>Energy Efficiency Opportunities at USDA</w:t>
      </w:r>
      <w:r w:rsidRPr="00E1283C">
        <w:rPr>
          <w:i/>
          <w:color w:val="4C4C4C" w:themeColor="text2"/>
          <w:sz w:val="16"/>
          <w:szCs w:val="16"/>
        </w:rPr>
        <w:t>,</w:t>
      </w:r>
      <w:r w:rsidRPr="00C727C7">
        <w:rPr>
          <w:color w:val="4C4C4C" w:themeColor="text2"/>
          <w:sz w:val="16"/>
          <w:szCs w:val="16"/>
        </w:rPr>
        <w:t xml:space="preserve"> </w:t>
      </w:r>
      <w:r>
        <w:rPr>
          <w:color w:val="4C4C4C" w:themeColor="text2"/>
          <w:sz w:val="16"/>
          <w:szCs w:val="16"/>
        </w:rPr>
        <w:t xml:space="preserve">American Council for an Energy Efficient Economy for the </w:t>
      </w:r>
      <w:r w:rsidRPr="00E1283C">
        <w:rPr>
          <w:color w:val="4C4C4C" w:themeColor="text2"/>
          <w:sz w:val="16"/>
          <w:szCs w:val="16"/>
        </w:rPr>
        <w:t xml:space="preserve">U.S. Department of </w:t>
      </w:r>
      <w:r>
        <w:rPr>
          <w:color w:val="4C4C4C" w:themeColor="text2"/>
          <w:sz w:val="16"/>
          <w:szCs w:val="16"/>
        </w:rPr>
        <w:t>Agriculture</w:t>
      </w:r>
      <w:r w:rsidRPr="00E1283C">
        <w:rPr>
          <w:color w:val="4C4C4C" w:themeColor="text2"/>
          <w:sz w:val="16"/>
          <w:szCs w:val="16"/>
        </w:rPr>
        <w:t>,</w:t>
      </w:r>
      <w:r>
        <w:rPr>
          <w:color w:val="4C4C4C" w:themeColor="text2"/>
          <w:sz w:val="16"/>
          <w:szCs w:val="16"/>
        </w:rPr>
        <w:t xml:space="preserve"> August</w:t>
      </w:r>
      <w:r w:rsidRPr="00E1283C">
        <w:rPr>
          <w:color w:val="4C4C4C" w:themeColor="text2"/>
          <w:sz w:val="16"/>
          <w:szCs w:val="16"/>
        </w:rPr>
        <w:t xml:space="preserve"> </w:t>
      </w:r>
      <w:r>
        <w:rPr>
          <w:color w:val="4C4C4C" w:themeColor="text2"/>
          <w:sz w:val="16"/>
          <w:szCs w:val="16"/>
        </w:rPr>
        <w:t>2013</w:t>
      </w:r>
      <w:r w:rsidRPr="00E1283C">
        <w:rPr>
          <w:color w:val="4C4C4C" w:themeColor="text2"/>
          <w:sz w:val="16"/>
          <w:szCs w:val="16"/>
        </w:rPr>
        <w:t>,</w:t>
      </w:r>
      <w:r w:rsidRPr="00215143">
        <w:t xml:space="preserve"> </w:t>
      </w:r>
      <w:hyperlink r:id="rId216" w:history="1">
        <w:r w:rsidRPr="00E22C4F">
          <w:rPr>
            <w:rStyle w:val="Hyperlink"/>
            <w:sz w:val="16"/>
            <w:szCs w:val="16"/>
          </w:rPr>
          <w:t>http://aceee.org/energy-efficiency-opportunities-usda</w:t>
        </w:r>
      </w:hyperlink>
      <w:r w:rsidRPr="00E1283C">
        <w:rPr>
          <w:color w:val="4C4C4C" w:themeColor="text2"/>
          <w:sz w:val="16"/>
          <w:szCs w:val="16"/>
        </w:rPr>
        <w:t xml:space="preserve">. </w:t>
      </w:r>
    </w:p>
  </w:endnote>
  <w:endnote w:id="285">
    <w:p w14:paraId="4A376751" w14:textId="77777777" w:rsidR="006506BB" w:rsidRPr="00E1283C" w:rsidRDefault="006506BB" w:rsidP="00ED476C">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“Minnesota Technical Assistance Program,” University of Minnesota, 2009, http://www.mntap.umn.edu/index.htm</w:t>
      </w:r>
    </w:p>
  </w:endnote>
  <w:endnote w:id="286">
    <w:p w14:paraId="769226D8" w14:textId="77777777" w:rsidR="006506BB" w:rsidRPr="00E1283C" w:rsidRDefault="006506BB" w:rsidP="00CA15D9">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“Technical Assistance Activities,” U.S. Department of Energy, accessed March 22, 2016, </w:t>
      </w:r>
      <w:hyperlink r:id="rId217" w:history="1">
        <w:r w:rsidRPr="00E1283C">
          <w:rPr>
            <w:rStyle w:val="Hyperlink"/>
            <w:color w:val="4C4C4C" w:themeColor="text2"/>
            <w:sz w:val="16"/>
            <w:szCs w:val="16"/>
          </w:rPr>
          <w:t>http://energy.gov/eere/amo/ta</w:t>
        </w:r>
      </w:hyperlink>
      <w:r w:rsidRPr="00E1283C">
        <w:rPr>
          <w:color w:val="4C4C4C" w:themeColor="text2"/>
          <w:sz w:val="16"/>
          <w:szCs w:val="16"/>
        </w:rPr>
        <w:t xml:space="preserve">.  </w:t>
      </w:r>
    </w:p>
  </w:endnote>
  <w:endnote w:id="287">
    <w:p w14:paraId="5FE928A9" w14:textId="77777777" w:rsidR="006506BB" w:rsidRPr="00E1283C" w:rsidRDefault="006506BB" w:rsidP="00CA15D9">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w:t>
      </w:r>
      <w:proofErr w:type="spellStart"/>
      <w:r w:rsidRPr="00E1283C">
        <w:rPr>
          <w:color w:val="4C4C4C" w:themeColor="text2"/>
          <w:sz w:val="16"/>
          <w:szCs w:val="16"/>
        </w:rPr>
        <w:t>eGuide</w:t>
      </w:r>
      <w:proofErr w:type="spellEnd"/>
      <w:r w:rsidRPr="00E1283C">
        <w:rPr>
          <w:color w:val="4C4C4C" w:themeColor="text2"/>
          <w:sz w:val="16"/>
          <w:szCs w:val="16"/>
        </w:rPr>
        <w:t xml:space="preserve">,” AMO Energy Resources Center, U.S. Department of Energy, accessed March 22, 2016, </w:t>
      </w:r>
      <w:hyperlink r:id="rId218" w:history="1">
        <w:r w:rsidRPr="00E1283C">
          <w:rPr>
            <w:rStyle w:val="Hyperlink"/>
            <w:color w:val="4C4C4C" w:themeColor="text2"/>
            <w:sz w:val="16"/>
            <w:szCs w:val="16"/>
          </w:rPr>
          <w:t>http://energy.gov/eere/amo/ta</w:t>
        </w:r>
      </w:hyperlink>
      <w:r w:rsidRPr="00E1283C">
        <w:rPr>
          <w:color w:val="4C4C4C" w:themeColor="text2"/>
          <w:sz w:val="16"/>
          <w:szCs w:val="16"/>
        </w:rPr>
        <w:t xml:space="preserve">. </w:t>
      </w:r>
    </w:p>
  </w:endnote>
  <w:endnote w:id="288">
    <w:p w14:paraId="0EC9CB1E" w14:textId="77777777" w:rsidR="006506BB" w:rsidRPr="00E1283C" w:rsidRDefault="006506BB" w:rsidP="00CA15D9">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“For Utilities,” U.S. Department of Energy, accessed March 22, 2016, </w:t>
      </w:r>
      <w:hyperlink r:id="rId219" w:history="1">
        <w:r w:rsidRPr="00E1283C">
          <w:rPr>
            <w:rStyle w:val="Hyperlink"/>
            <w:color w:val="4C4C4C" w:themeColor="text2"/>
            <w:sz w:val="16"/>
            <w:szCs w:val="16"/>
          </w:rPr>
          <w:t>http://energy.gov/eere/amo/utilities</w:t>
        </w:r>
      </w:hyperlink>
      <w:r w:rsidRPr="00E1283C">
        <w:rPr>
          <w:color w:val="4C4C4C" w:themeColor="text2"/>
          <w:sz w:val="16"/>
          <w:szCs w:val="16"/>
        </w:rPr>
        <w:t xml:space="preserve">.  </w:t>
      </w:r>
    </w:p>
  </w:endnote>
  <w:endnote w:id="289">
    <w:p w14:paraId="6E81EAB4" w14:textId="77777777" w:rsidR="006506BB" w:rsidRPr="00E1283C" w:rsidRDefault="006506BB" w:rsidP="00CA15D9">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“Industrial Assessment Centers,” U.S. Department of Energy, Advanced Manufacturing Office, accessed March 22, 2016, </w:t>
      </w:r>
      <w:hyperlink r:id="rId220" w:history="1">
        <w:r w:rsidRPr="00E1283C">
          <w:rPr>
            <w:rStyle w:val="Hyperlink"/>
            <w:color w:val="4C4C4C" w:themeColor="text2"/>
            <w:sz w:val="16"/>
            <w:szCs w:val="16"/>
          </w:rPr>
          <w:t>https://iac.university/</w:t>
        </w:r>
      </w:hyperlink>
      <w:r w:rsidRPr="00E1283C">
        <w:rPr>
          <w:color w:val="4C4C4C" w:themeColor="text2"/>
          <w:sz w:val="16"/>
          <w:szCs w:val="16"/>
        </w:rPr>
        <w:t xml:space="preserve">. </w:t>
      </w:r>
    </w:p>
  </w:endnote>
  <w:endnote w:id="290">
    <w:p w14:paraId="0915ED0F" w14:textId="77777777" w:rsidR="006506BB" w:rsidRPr="00E1283C" w:rsidRDefault="006506BB" w:rsidP="00CA15D9">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“Software Tools,” U.S. Department of Energy, accessed March 22, 2016, </w:t>
      </w:r>
      <w:hyperlink r:id="rId221" w:history="1">
        <w:r w:rsidRPr="00E1283C">
          <w:rPr>
            <w:rStyle w:val="Hyperlink"/>
            <w:color w:val="4C4C4C" w:themeColor="text2"/>
            <w:sz w:val="16"/>
            <w:szCs w:val="16"/>
          </w:rPr>
          <w:t>http://energy.gov/eere/amo/software-tools</w:t>
        </w:r>
      </w:hyperlink>
      <w:r w:rsidRPr="00E1283C">
        <w:rPr>
          <w:color w:val="4C4C4C" w:themeColor="text2"/>
          <w:sz w:val="16"/>
          <w:szCs w:val="16"/>
        </w:rPr>
        <w:t>.</w:t>
      </w:r>
    </w:p>
  </w:endnote>
  <w:endnote w:id="291">
    <w:p w14:paraId="62CBBACD" w14:textId="77777777" w:rsidR="006506BB" w:rsidRPr="00E1283C" w:rsidRDefault="006506BB" w:rsidP="00E47A6A">
      <w:pPr>
        <w:pStyle w:val="EndnoteText"/>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rPr>
        <w:t xml:space="preserve"> “Clean Energy Economy Minnesota,” Clean Energy Economy Minnesota, accessed April 14, 2016, http://www.cleanenergyeconomymn.org/</w:t>
      </w:r>
    </w:p>
  </w:endnote>
  <w:endnote w:id="292">
    <w:p w14:paraId="10CBCB2B" w14:textId="77777777" w:rsidR="006506BB" w:rsidRPr="00E1283C" w:rsidRDefault="006506BB" w:rsidP="00E47A6A">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lang w:val="it-IT"/>
        </w:rPr>
        <w:t xml:space="preserve"> </w:t>
      </w:r>
      <w:r w:rsidRPr="00E1283C">
        <w:rPr>
          <w:color w:val="4C4C4C" w:themeColor="text2"/>
          <w:sz w:val="16"/>
          <w:szCs w:val="16"/>
        </w:rPr>
        <w:t xml:space="preserve">“NECEC,” Northeast Clean Energy Council, accessed March 22, 2016, </w:t>
      </w:r>
      <w:hyperlink r:id="rId222" w:history="1">
        <w:r w:rsidRPr="00E1283C">
          <w:rPr>
            <w:rStyle w:val="Hyperlink"/>
            <w:color w:val="4C4C4C" w:themeColor="text2"/>
            <w:sz w:val="16"/>
            <w:szCs w:val="16"/>
          </w:rPr>
          <w:t>www.necec.org</w:t>
        </w:r>
      </w:hyperlink>
      <w:r w:rsidRPr="00E1283C">
        <w:rPr>
          <w:color w:val="4C4C4C" w:themeColor="text2"/>
          <w:sz w:val="16"/>
          <w:szCs w:val="16"/>
        </w:rPr>
        <w:t xml:space="preserve">. </w:t>
      </w:r>
    </w:p>
  </w:endnote>
  <w:endnote w:id="293">
    <w:p w14:paraId="753DEBBD" w14:textId="77777777" w:rsidR="006506BB" w:rsidRPr="00E1283C" w:rsidRDefault="006506BB" w:rsidP="00E47A6A">
      <w:pPr>
        <w:rPr>
          <w:color w:val="4C4C4C" w:themeColor="text2"/>
          <w:sz w:val="16"/>
          <w:szCs w:val="16"/>
          <w:lang w:val="it-IT"/>
        </w:rPr>
      </w:pPr>
      <w:r w:rsidRPr="00E1283C">
        <w:rPr>
          <w:rStyle w:val="EndnoteReference"/>
          <w:color w:val="4C4C4C" w:themeColor="text2"/>
          <w:sz w:val="16"/>
          <w:szCs w:val="16"/>
        </w:rPr>
        <w:endnoteRef/>
      </w:r>
      <w:r w:rsidRPr="00E1283C">
        <w:rPr>
          <w:color w:val="4C4C4C" w:themeColor="text2"/>
          <w:sz w:val="16"/>
          <w:szCs w:val="16"/>
          <w:lang w:val="it-IT"/>
        </w:rPr>
        <w:t xml:space="preserve"> </w:t>
      </w:r>
      <w:r w:rsidRPr="00E1283C">
        <w:rPr>
          <w:color w:val="4C4C4C" w:themeColor="text2"/>
          <w:sz w:val="16"/>
          <w:szCs w:val="16"/>
        </w:rPr>
        <w:t xml:space="preserve">“NC Clean Tech Summit,” UNC Institute for the Environment, 2016, </w:t>
      </w:r>
      <w:hyperlink r:id="rId223" w:history="1">
        <w:r w:rsidRPr="00E1283C">
          <w:rPr>
            <w:rStyle w:val="Hyperlink"/>
            <w:color w:val="4C4C4C" w:themeColor="text2"/>
            <w:sz w:val="16"/>
            <w:szCs w:val="16"/>
          </w:rPr>
          <w:t>http://ie.unc.edu/cleantech/</w:t>
        </w:r>
      </w:hyperlink>
      <w:r w:rsidRPr="00E1283C">
        <w:rPr>
          <w:color w:val="4C4C4C" w:themeColor="text2"/>
          <w:sz w:val="16"/>
          <w:szCs w:val="16"/>
        </w:rPr>
        <w:t>.</w:t>
      </w:r>
    </w:p>
  </w:endnote>
  <w:endnote w:id="294">
    <w:p w14:paraId="5FBCD540" w14:textId="77777777" w:rsidR="006506BB" w:rsidRPr="00E1283C" w:rsidRDefault="006506BB" w:rsidP="00E1283C">
      <w:pPr>
        <w:rPr>
          <w:color w:val="4C4C4C" w:themeColor="text2"/>
          <w:sz w:val="16"/>
          <w:szCs w:val="16"/>
          <w:lang w:val="it-IT"/>
        </w:rPr>
      </w:pPr>
      <w:r w:rsidRPr="00E1283C">
        <w:rPr>
          <w:rStyle w:val="EndnoteReference"/>
          <w:color w:val="4C4C4C" w:themeColor="text2"/>
          <w:sz w:val="16"/>
          <w:szCs w:val="16"/>
        </w:rPr>
        <w:endnoteRef/>
      </w:r>
      <w:r w:rsidRPr="00E1283C">
        <w:rPr>
          <w:color w:val="4C4C4C" w:themeColor="text2"/>
          <w:sz w:val="16"/>
          <w:szCs w:val="16"/>
          <w:lang w:val="it-IT"/>
        </w:rPr>
        <w:t xml:space="preserve"> </w:t>
      </w:r>
      <w:r w:rsidRPr="00E1283C">
        <w:rPr>
          <w:color w:val="4C4C4C" w:themeColor="text2"/>
          <w:sz w:val="16"/>
          <w:szCs w:val="16"/>
        </w:rPr>
        <w:t xml:space="preserve">“Colorado </w:t>
      </w:r>
      <w:proofErr w:type="spellStart"/>
      <w:r w:rsidRPr="00E1283C">
        <w:rPr>
          <w:color w:val="4C4C4C" w:themeColor="text2"/>
          <w:sz w:val="16"/>
          <w:szCs w:val="16"/>
        </w:rPr>
        <w:t>Cleantech</w:t>
      </w:r>
      <w:proofErr w:type="spellEnd"/>
      <w:r w:rsidRPr="00E1283C">
        <w:rPr>
          <w:color w:val="4C4C4C" w:themeColor="text2"/>
          <w:sz w:val="16"/>
          <w:szCs w:val="16"/>
        </w:rPr>
        <w:t xml:space="preserve"> Industries Association,” Colorado </w:t>
      </w:r>
      <w:proofErr w:type="spellStart"/>
      <w:r w:rsidRPr="00E1283C">
        <w:rPr>
          <w:color w:val="4C4C4C" w:themeColor="text2"/>
          <w:sz w:val="16"/>
          <w:szCs w:val="16"/>
        </w:rPr>
        <w:t>Cleantech</w:t>
      </w:r>
      <w:proofErr w:type="spellEnd"/>
      <w:r w:rsidRPr="00E1283C">
        <w:rPr>
          <w:color w:val="4C4C4C" w:themeColor="text2"/>
          <w:sz w:val="16"/>
          <w:szCs w:val="16"/>
        </w:rPr>
        <w:t xml:space="preserve"> Industries Association, 2015, </w:t>
      </w:r>
      <w:hyperlink r:id="rId224" w:history="1">
        <w:r w:rsidRPr="00E1283C">
          <w:rPr>
            <w:rStyle w:val="Hyperlink"/>
            <w:color w:val="4C4C4C" w:themeColor="text2"/>
            <w:sz w:val="16"/>
            <w:szCs w:val="16"/>
          </w:rPr>
          <w:t>http://coloradocleantech.com/</w:t>
        </w:r>
      </w:hyperlink>
      <w:r w:rsidRPr="00E1283C">
        <w:rPr>
          <w:color w:val="4C4C4C" w:themeColor="text2"/>
          <w:sz w:val="16"/>
          <w:szCs w:val="16"/>
        </w:rPr>
        <w:t>.</w:t>
      </w:r>
    </w:p>
  </w:endnote>
  <w:endnote w:id="295">
    <w:p w14:paraId="30884A5A" w14:textId="77777777" w:rsidR="006506BB" w:rsidRPr="00E1283C" w:rsidRDefault="006506BB" w:rsidP="00E47A6A">
      <w:pPr>
        <w:rPr>
          <w:color w:val="4C4C4C" w:themeColor="text2"/>
          <w:sz w:val="16"/>
          <w:szCs w:val="16"/>
        </w:rPr>
      </w:pPr>
      <w:r w:rsidRPr="00E1283C">
        <w:rPr>
          <w:rStyle w:val="EndnoteReference"/>
          <w:color w:val="4C4C4C" w:themeColor="text2"/>
          <w:sz w:val="16"/>
          <w:szCs w:val="16"/>
        </w:rPr>
        <w:endnoteRef/>
      </w:r>
      <w:r w:rsidRPr="00E1283C">
        <w:rPr>
          <w:color w:val="4C4C4C" w:themeColor="text2"/>
          <w:sz w:val="16"/>
          <w:szCs w:val="16"/>
          <w:lang w:val="it-IT"/>
        </w:rPr>
        <w:t xml:space="preserve"> </w:t>
      </w:r>
      <w:r w:rsidRPr="00E1283C">
        <w:rPr>
          <w:color w:val="4C4C4C" w:themeColor="text2"/>
          <w:sz w:val="16"/>
          <w:szCs w:val="16"/>
        </w:rPr>
        <w:t xml:space="preserve">“Colorado </w:t>
      </w:r>
      <w:proofErr w:type="spellStart"/>
      <w:r w:rsidRPr="00E1283C">
        <w:rPr>
          <w:color w:val="4C4C4C" w:themeColor="text2"/>
          <w:sz w:val="16"/>
          <w:szCs w:val="16"/>
        </w:rPr>
        <w:t>Cleantech</w:t>
      </w:r>
      <w:proofErr w:type="spellEnd"/>
      <w:r w:rsidRPr="00E1283C">
        <w:rPr>
          <w:color w:val="4C4C4C" w:themeColor="text2"/>
          <w:sz w:val="16"/>
          <w:szCs w:val="16"/>
        </w:rPr>
        <w:t xml:space="preserve"> Action Plan: A roadmap to guide the development of Colorado’s clean technology industry,” prepared by Navigant Consulting, Colorado </w:t>
      </w:r>
      <w:proofErr w:type="spellStart"/>
      <w:r w:rsidRPr="00E1283C">
        <w:rPr>
          <w:color w:val="4C4C4C" w:themeColor="text2"/>
          <w:sz w:val="16"/>
          <w:szCs w:val="16"/>
        </w:rPr>
        <w:t>Cleantech</w:t>
      </w:r>
      <w:proofErr w:type="spellEnd"/>
      <w:r w:rsidRPr="00E1283C">
        <w:rPr>
          <w:color w:val="4C4C4C" w:themeColor="text2"/>
          <w:sz w:val="16"/>
          <w:szCs w:val="16"/>
        </w:rPr>
        <w:t xml:space="preserve"> Industry Association, October 11, 2010, </w:t>
      </w:r>
      <w:hyperlink r:id="rId225" w:history="1">
        <w:r w:rsidRPr="00E1283C">
          <w:rPr>
            <w:rStyle w:val="Hyperlink"/>
            <w:color w:val="4C4C4C" w:themeColor="text2"/>
            <w:sz w:val="16"/>
            <w:szCs w:val="16"/>
          </w:rPr>
          <w:t>http://coloradocleantech.com/wp-content/uploads/2014/12/Cleantech-Action-Plan-10_12_2010.pdf</w:t>
        </w:r>
      </w:hyperlink>
      <w:r w:rsidRPr="00E1283C">
        <w:rPr>
          <w:color w:val="4C4C4C" w:themeColor="text2"/>
          <w:sz w:val="16"/>
          <w:szCs w:val="16"/>
        </w:rPr>
        <w:t xml:space="preserve">. </w:t>
      </w:r>
    </w:p>
  </w:endnote>
  <w:endnote w:id="296">
    <w:p w14:paraId="77992CC4" w14:textId="77777777" w:rsidR="006506BB" w:rsidRPr="00E1283C" w:rsidRDefault="006506BB" w:rsidP="00E47A6A">
      <w:pPr>
        <w:rPr>
          <w:color w:val="4C4C4C" w:themeColor="text2"/>
          <w:sz w:val="16"/>
          <w:szCs w:val="16"/>
          <w:lang w:val="it-IT"/>
        </w:rPr>
      </w:pPr>
      <w:r w:rsidRPr="00E1283C">
        <w:rPr>
          <w:rStyle w:val="EndnoteReference"/>
          <w:color w:val="4C4C4C" w:themeColor="text2"/>
          <w:sz w:val="16"/>
          <w:szCs w:val="16"/>
        </w:rPr>
        <w:endnoteRef/>
      </w:r>
      <w:r w:rsidRPr="00E1283C">
        <w:rPr>
          <w:color w:val="4C4C4C" w:themeColor="text2"/>
          <w:sz w:val="16"/>
          <w:szCs w:val="16"/>
          <w:lang w:val="it-IT"/>
        </w:rPr>
        <w:t xml:space="preserve"> </w:t>
      </w:r>
      <w:r w:rsidRPr="00E1283C">
        <w:rPr>
          <w:color w:val="4C4C4C" w:themeColor="text2"/>
          <w:sz w:val="16"/>
          <w:szCs w:val="16"/>
        </w:rPr>
        <w:t xml:space="preserve">“Energy Fellows Institute,” Colorado </w:t>
      </w:r>
      <w:proofErr w:type="spellStart"/>
      <w:r w:rsidRPr="00E1283C">
        <w:rPr>
          <w:color w:val="4C4C4C" w:themeColor="text2"/>
          <w:sz w:val="16"/>
          <w:szCs w:val="16"/>
        </w:rPr>
        <w:t>Cleantech</w:t>
      </w:r>
      <w:proofErr w:type="spellEnd"/>
      <w:r w:rsidRPr="00E1283C">
        <w:rPr>
          <w:color w:val="4C4C4C" w:themeColor="text2"/>
          <w:sz w:val="16"/>
          <w:szCs w:val="16"/>
        </w:rPr>
        <w:t xml:space="preserve"> Industries Association, accessed March 22, 2016, </w:t>
      </w:r>
      <w:hyperlink r:id="rId226" w:history="1">
        <w:r w:rsidRPr="00E1283C">
          <w:rPr>
            <w:rStyle w:val="Hyperlink"/>
            <w:color w:val="4C4C4C" w:themeColor="text2"/>
            <w:sz w:val="16"/>
            <w:szCs w:val="16"/>
          </w:rPr>
          <w:t>http://coloradocleantech.com/fellows-institute/</w:t>
        </w:r>
      </w:hyperlink>
      <w:r w:rsidRPr="00E1283C">
        <w:rPr>
          <w:color w:val="4C4C4C" w:themeColor="text2"/>
          <w:sz w:val="16"/>
          <w:szCs w:val="16"/>
        </w:rPr>
        <w:t>.</w:t>
      </w:r>
    </w:p>
  </w:endnote>
  <w:endnote w:id="297">
    <w:p w14:paraId="4A5765BF" w14:textId="77777777" w:rsidR="006506BB" w:rsidRPr="00E1283C" w:rsidRDefault="006506BB" w:rsidP="00E47A6A">
      <w:pPr>
        <w:rPr>
          <w:color w:val="4C4C4C" w:themeColor="text2"/>
          <w:sz w:val="16"/>
          <w:szCs w:val="16"/>
          <w:lang w:val="it-IT"/>
        </w:rPr>
      </w:pPr>
      <w:r w:rsidRPr="00E1283C">
        <w:rPr>
          <w:rStyle w:val="EndnoteReference"/>
          <w:color w:val="4C4C4C" w:themeColor="text2"/>
          <w:sz w:val="16"/>
          <w:szCs w:val="16"/>
        </w:rPr>
        <w:endnoteRef/>
      </w:r>
      <w:r w:rsidRPr="00E1283C">
        <w:rPr>
          <w:color w:val="4C4C4C" w:themeColor="text2"/>
          <w:sz w:val="16"/>
          <w:szCs w:val="16"/>
          <w:lang w:val="it-IT"/>
        </w:rPr>
        <w:t xml:space="preserve"> </w:t>
      </w:r>
      <w:r w:rsidRPr="00E1283C">
        <w:rPr>
          <w:color w:val="4C4C4C" w:themeColor="text2"/>
          <w:sz w:val="16"/>
          <w:szCs w:val="16"/>
        </w:rPr>
        <w:t xml:space="preserve">“LACI,” Los Angeles </w:t>
      </w:r>
      <w:proofErr w:type="spellStart"/>
      <w:r w:rsidRPr="00E1283C">
        <w:rPr>
          <w:color w:val="4C4C4C" w:themeColor="text2"/>
          <w:sz w:val="16"/>
          <w:szCs w:val="16"/>
        </w:rPr>
        <w:t>Cleantech</w:t>
      </w:r>
      <w:proofErr w:type="spellEnd"/>
      <w:r w:rsidRPr="00E1283C">
        <w:rPr>
          <w:color w:val="4C4C4C" w:themeColor="text2"/>
          <w:sz w:val="16"/>
          <w:szCs w:val="16"/>
        </w:rPr>
        <w:t xml:space="preserve"> Incubator, 2015, </w:t>
      </w:r>
      <w:hyperlink r:id="rId227" w:history="1">
        <w:r w:rsidRPr="00E1283C">
          <w:rPr>
            <w:rStyle w:val="Hyperlink"/>
            <w:color w:val="4C4C4C" w:themeColor="text2"/>
            <w:sz w:val="16"/>
            <w:szCs w:val="16"/>
          </w:rPr>
          <w:t>http://laincubator.org</w:t>
        </w:r>
      </w:hyperlink>
      <w:r w:rsidRPr="00E1283C">
        <w:rPr>
          <w:color w:val="4C4C4C" w:themeColor="text2"/>
          <w:sz w:val="16"/>
          <w:szCs w:val="16"/>
        </w:rPr>
        <w:t>. /</w:t>
      </w:r>
    </w:p>
  </w:endnote>
  <w:endnote w:id="298">
    <w:p w14:paraId="15E724AF" w14:textId="77777777" w:rsidR="006506BB" w:rsidRPr="00564DC9" w:rsidRDefault="006506BB" w:rsidP="00E47A6A">
      <w:pPr>
        <w:rPr>
          <w:sz w:val="16"/>
          <w:szCs w:val="16"/>
          <w:lang w:val="it-IT"/>
        </w:rPr>
      </w:pPr>
      <w:r w:rsidRPr="00E1283C">
        <w:rPr>
          <w:rStyle w:val="EndnoteReference"/>
          <w:color w:val="4C4C4C" w:themeColor="text2"/>
          <w:sz w:val="16"/>
          <w:szCs w:val="16"/>
        </w:rPr>
        <w:endnoteRef/>
      </w:r>
      <w:r w:rsidRPr="00E1283C">
        <w:rPr>
          <w:color w:val="4C4C4C" w:themeColor="text2"/>
          <w:sz w:val="16"/>
          <w:szCs w:val="16"/>
          <w:lang w:val="it-IT"/>
        </w:rPr>
        <w:t xml:space="preserve"> </w:t>
      </w:r>
      <w:proofErr w:type="spellStart"/>
      <w:r w:rsidRPr="00E1283C">
        <w:rPr>
          <w:color w:val="4C4C4C" w:themeColor="text2"/>
          <w:sz w:val="16"/>
          <w:szCs w:val="16"/>
        </w:rPr>
        <w:t>NextEnergy</w:t>
      </w:r>
      <w:proofErr w:type="spellEnd"/>
      <w:r w:rsidRPr="00E1283C">
        <w:rPr>
          <w:color w:val="4C4C4C" w:themeColor="text2"/>
          <w:sz w:val="16"/>
          <w:szCs w:val="16"/>
        </w:rPr>
        <w:t xml:space="preserve">,” </w:t>
      </w:r>
      <w:proofErr w:type="spellStart"/>
      <w:r w:rsidRPr="00E1283C">
        <w:rPr>
          <w:color w:val="4C4C4C" w:themeColor="text2"/>
          <w:sz w:val="16"/>
          <w:szCs w:val="16"/>
        </w:rPr>
        <w:t>NextEnergy</w:t>
      </w:r>
      <w:proofErr w:type="spellEnd"/>
      <w:r w:rsidRPr="00E1283C">
        <w:rPr>
          <w:color w:val="4C4C4C" w:themeColor="text2"/>
          <w:sz w:val="16"/>
          <w:szCs w:val="16"/>
        </w:rPr>
        <w:t xml:space="preserve">, 2015, </w:t>
      </w:r>
      <w:hyperlink r:id="rId228" w:history="1">
        <w:r w:rsidRPr="00E1283C">
          <w:rPr>
            <w:rStyle w:val="Hyperlink"/>
            <w:color w:val="4C4C4C" w:themeColor="text2"/>
            <w:sz w:val="16"/>
            <w:szCs w:val="16"/>
          </w:rPr>
          <w:t>https://www.nextenergy.org/</w:t>
        </w:r>
      </w:hyperlink>
      <w:r w:rsidRPr="00E1283C">
        <w:rPr>
          <w:color w:val="4C4C4C" w:themeColor="text2"/>
          <w:sz w:val="16"/>
          <w:szCs w:val="16"/>
        </w:rPr>
        <w:t>.</w:t>
      </w:r>
    </w:p>
  </w:endnote>
  <w:endnote w:id="299">
    <w:p w14:paraId="0E91CAB7" w14:textId="77777777" w:rsidR="006506BB" w:rsidRPr="00CE2196" w:rsidRDefault="006506BB" w:rsidP="00FC7DC8">
      <w:pPr>
        <w:pStyle w:val="EndnoteText"/>
        <w:rPr>
          <w:sz w:val="16"/>
          <w:szCs w:val="16"/>
        </w:rPr>
      </w:pPr>
      <w:r w:rsidRPr="00CE2196">
        <w:rPr>
          <w:rStyle w:val="EndnoteReference"/>
          <w:sz w:val="16"/>
          <w:szCs w:val="16"/>
        </w:rPr>
        <w:endnoteRef/>
      </w:r>
      <w:r w:rsidRPr="00CE2196">
        <w:rPr>
          <w:sz w:val="16"/>
          <w:szCs w:val="16"/>
        </w:rPr>
        <w:t xml:space="preserve"> “Regional Indicators Initiative,” LHB, 2013, </w:t>
      </w:r>
      <w:r w:rsidRPr="00CE2196">
        <w:rPr>
          <w:rFonts w:cs="Lucida Grande"/>
          <w:sz w:val="16"/>
          <w:szCs w:val="16"/>
        </w:rPr>
        <w:t>http://www.regionalindicatorsmn.com</w:t>
      </w:r>
    </w:p>
  </w:endnote>
  <w:endnote w:id="300">
    <w:p w14:paraId="0A1A7BE4" w14:textId="77777777" w:rsidR="006506BB" w:rsidRPr="00CE2196" w:rsidRDefault="006506BB" w:rsidP="00FC7DC8">
      <w:pPr>
        <w:pStyle w:val="EndnoteText"/>
        <w:rPr>
          <w:sz w:val="16"/>
          <w:szCs w:val="16"/>
        </w:rPr>
      </w:pPr>
      <w:r w:rsidRPr="00CE2196">
        <w:rPr>
          <w:rStyle w:val="EndnoteReference"/>
          <w:sz w:val="16"/>
          <w:szCs w:val="16"/>
        </w:rPr>
        <w:endnoteRef/>
      </w:r>
      <w:r w:rsidRPr="00CE2196">
        <w:rPr>
          <w:sz w:val="16"/>
          <w:szCs w:val="16"/>
        </w:rPr>
        <w:t xml:space="preserve"> “Local Planning Assistance,” Metropolitan Council, accessed April 12, 2016, http://www.metrocouncil.org/Communities/Planning/Local-Planning-Assistance.aspx</w:t>
      </w:r>
    </w:p>
  </w:endnote>
  <w:endnote w:id="301">
    <w:p w14:paraId="350F9027" w14:textId="77777777" w:rsidR="006506BB" w:rsidRPr="00CE2196" w:rsidRDefault="006506BB" w:rsidP="00FC7DC8">
      <w:pPr>
        <w:pStyle w:val="EndnoteText"/>
        <w:rPr>
          <w:sz w:val="16"/>
          <w:szCs w:val="16"/>
        </w:rPr>
      </w:pPr>
      <w:r w:rsidRPr="00CE2196">
        <w:rPr>
          <w:rStyle w:val="EndnoteReference"/>
          <w:sz w:val="16"/>
          <w:szCs w:val="16"/>
        </w:rPr>
        <w:endnoteRef/>
      </w:r>
      <w:r w:rsidRPr="00CE2196">
        <w:rPr>
          <w:sz w:val="16"/>
          <w:szCs w:val="16"/>
        </w:rPr>
        <w:t xml:space="preserve"> “Minnesota </w:t>
      </w:r>
      <w:proofErr w:type="spellStart"/>
      <w:r w:rsidRPr="00CE2196">
        <w:rPr>
          <w:sz w:val="16"/>
          <w:szCs w:val="16"/>
        </w:rPr>
        <w:t>GreenStep</w:t>
      </w:r>
      <w:proofErr w:type="spellEnd"/>
      <w:r w:rsidRPr="00CE2196">
        <w:rPr>
          <w:sz w:val="16"/>
          <w:szCs w:val="16"/>
        </w:rPr>
        <w:t xml:space="preserve"> Cities,” Minnesota Pollution Control Agency, accessed April 12, 2016, </w:t>
      </w:r>
      <w:hyperlink r:id="rId229" w:history="1">
        <w:r w:rsidRPr="00CE2196">
          <w:rPr>
            <w:rStyle w:val="Hyperlink"/>
            <w:sz w:val="16"/>
            <w:szCs w:val="16"/>
          </w:rPr>
          <w:t>http://greenstep.pca.state.mn.us/bestPracticesDetail.cfm?bpid=31</w:t>
        </w:r>
      </w:hyperlink>
      <w:r w:rsidRPr="00CE2196">
        <w:rPr>
          <w:sz w:val="16"/>
          <w:szCs w:val="16"/>
        </w:rPr>
        <w:t xml:space="preserve"> </w:t>
      </w:r>
    </w:p>
  </w:endnote>
  <w:endnote w:id="302">
    <w:p w14:paraId="3119F618" w14:textId="77777777" w:rsidR="006506BB" w:rsidRPr="00CE2196" w:rsidRDefault="006506BB" w:rsidP="00FC7DC8">
      <w:pPr>
        <w:pStyle w:val="EndnoteText"/>
        <w:rPr>
          <w:sz w:val="16"/>
          <w:szCs w:val="16"/>
        </w:rPr>
      </w:pPr>
      <w:r w:rsidRPr="00CE2196">
        <w:rPr>
          <w:rStyle w:val="EndnoteReference"/>
          <w:sz w:val="16"/>
          <w:szCs w:val="16"/>
        </w:rPr>
        <w:endnoteRef/>
      </w:r>
      <w:r w:rsidRPr="00CE2196">
        <w:rPr>
          <w:sz w:val="16"/>
          <w:szCs w:val="16"/>
        </w:rPr>
        <w:t xml:space="preserve"> “Community Energy Reports,” Xcel Energy, 2016, </w:t>
      </w:r>
      <w:r w:rsidRPr="00CE2196">
        <w:rPr>
          <w:rFonts w:cs="Lucida Grande"/>
          <w:sz w:val="16"/>
          <w:szCs w:val="16"/>
        </w:rPr>
        <w:t>http://www.xcelenergy.com/Partners/Municipalities/Community_Energy_Reports</w:t>
      </w:r>
    </w:p>
  </w:endnote>
  <w:endnote w:id="303">
    <w:p w14:paraId="4C02CCF6" w14:textId="77777777" w:rsidR="006506BB" w:rsidRPr="00CE2196" w:rsidRDefault="006506BB" w:rsidP="00FC7DC8">
      <w:pPr>
        <w:pStyle w:val="EndnoteText"/>
        <w:rPr>
          <w:sz w:val="16"/>
          <w:szCs w:val="16"/>
        </w:rPr>
      </w:pPr>
      <w:r w:rsidRPr="00CE2196">
        <w:rPr>
          <w:rStyle w:val="EndnoteReference"/>
          <w:sz w:val="16"/>
          <w:szCs w:val="16"/>
        </w:rPr>
        <w:endnoteRef/>
      </w:r>
      <w:r w:rsidRPr="00CE2196">
        <w:rPr>
          <w:sz w:val="16"/>
          <w:szCs w:val="16"/>
        </w:rPr>
        <w:t xml:space="preserve"> “Notice of Comment Period on Customer Data Privacy, </w:t>
      </w:r>
      <w:proofErr w:type="spellStart"/>
      <w:r w:rsidRPr="00CE2196">
        <w:rPr>
          <w:sz w:val="16"/>
          <w:szCs w:val="16"/>
        </w:rPr>
        <w:t>Sate</w:t>
      </w:r>
      <w:proofErr w:type="spellEnd"/>
      <w:r w:rsidRPr="00CE2196">
        <w:rPr>
          <w:sz w:val="16"/>
          <w:szCs w:val="16"/>
        </w:rPr>
        <w:t xml:space="preserve"> of Minnesota Public Utilities Commission, Docket number E,G-999/CI-12-1344, January 8, 2013, https://www.edockets.state.mn.us/EFiling/edockets/searchDocuments.do?method=showPoup&amp;documentId={20B55EFE-85CD-4A4A-9AEA-7DA781BA691A}&amp;documentTitle=20131-82520-01</w:t>
      </w:r>
    </w:p>
  </w:endnote>
  <w:endnote w:id="304">
    <w:p w14:paraId="227DD5D5" w14:textId="77777777" w:rsidR="006506BB" w:rsidRPr="00CE2196" w:rsidRDefault="006506BB" w:rsidP="00FC7DC8">
      <w:pPr>
        <w:pStyle w:val="EndnoteText"/>
        <w:rPr>
          <w:sz w:val="16"/>
          <w:szCs w:val="16"/>
        </w:rPr>
      </w:pPr>
      <w:r w:rsidRPr="00CE2196">
        <w:rPr>
          <w:rStyle w:val="EndnoteReference"/>
          <w:sz w:val="16"/>
          <w:szCs w:val="16"/>
        </w:rPr>
        <w:endnoteRef/>
      </w:r>
      <w:r w:rsidRPr="00CE2196">
        <w:rPr>
          <w:sz w:val="16"/>
          <w:szCs w:val="16"/>
        </w:rPr>
        <w:t xml:space="preserve"> “Serendipity Grant Program,” University of Minnesota, 2016, </w:t>
      </w:r>
      <w:hyperlink r:id="rId230" w:history="1">
        <w:r w:rsidRPr="00CE2196">
          <w:rPr>
            <w:rStyle w:val="Hyperlink"/>
            <w:sz w:val="16"/>
            <w:szCs w:val="16"/>
          </w:rPr>
          <w:t>http://www.research.umn.edu/convergence/serendipity.html</w:t>
        </w:r>
      </w:hyperlink>
      <w:r w:rsidRPr="00CE2196">
        <w:rPr>
          <w:sz w:val="16"/>
          <w:szCs w:val="16"/>
        </w:rPr>
        <w:t xml:space="preserve"> </w:t>
      </w:r>
    </w:p>
  </w:endnote>
  <w:endnote w:id="305">
    <w:p w14:paraId="50810566" w14:textId="77777777" w:rsidR="006506BB" w:rsidRPr="00CE2196" w:rsidRDefault="006506BB" w:rsidP="00FC7DC8">
      <w:pPr>
        <w:pStyle w:val="EndnoteText"/>
        <w:rPr>
          <w:sz w:val="16"/>
          <w:szCs w:val="16"/>
        </w:rPr>
      </w:pPr>
      <w:r w:rsidRPr="00CE2196">
        <w:rPr>
          <w:rStyle w:val="EndnoteReference"/>
          <w:sz w:val="16"/>
          <w:szCs w:val="16"/>
        </w:rPr>
        <w:endnoteRef/>
      </w:r>
      <w:r w:rsidRPr="00CE2196">
        <w:rPr>
          <w:sz w:val="16"/>
          <w:szCs w:val="16"/>
        </w:rPr>
        <w:t xml:space="preserve"> “Local Planning Handbook,” Metropolitan Council, accessed April 12, 2016, http://www.metrocouncil.org/Handbook.aspx</w:t>
      </w:r>
    </w:p>
  </w:endnote>
  <w:endnote w:id="306">
    <w:p w14:paraId="00B8FCAA" w14:textId="77777777" w:rsidR="006506BB" w:rsidRPr="00CE2196" w:rsidRDefault="006506BB" w:rsidP="00FC7DC8">
      <w:pPr>
        <w:pStyle w:val="EndnoteText"/>
        <w:rPr>
          <w:sz w:val="16"/>
          <w:szCs w:val="16"/>
        </w:rPr>
      </w:pPr>
      <w:r w:rsidRPr="00CE2196">
        <w:rPr>
          <w:rStyle w:val="EndnoteReference"/>
          <w:sz w:val="16"/>
          <w:szCs w:val="16"/>
        </w:rPr>
        <w:endnoteRef/>
      </w:r>
      <w:r w:rsidRPr="00CE2196">
        <w:rPr>
          <w:sz w:val="16"/>
          <w:szCs w:val="16"/>
        </w:rPr>
        <w:t xml:space="preserve"> </w:t>
      </w:r>
      <w:r w:rsidRPr="00CE2196">
        <w:rPr>
          <w:i/>
          <w:sz w:val="16"/>
          <w:szCs w:val="16"/>
        </w:rPr>
        <w:t xml:space="preserve">Minnesota Climate Change Vulnerability Assessment 2014, </w:t>
      </w:r>
      <w:r w:rsidRPr="00CE2196">
        <w:rPr>
          <w:sz w:val="16"/>
          <w:szCs w:val="16"/>
        </w:rPr>
        <w:t>Minnesota Department of Health, October 2014,</w:t>
      </w:r>
      <w:r w:rsidRPr="00CE2196">
        <w:rPr>
          <w:i/>
          <w:sz w:val="16"/>
          <w:szCs w:val="16"/>
        </w:rPr>
        <w:t xml:space="preserve"> </w:t>
      </w:r>
      <w:r w:rsidRPr="00CE2196">
        <w:rPr>
          <w:sz w:val="16"/>
          <w:szCs w:val="16"/>
        </w:rPr>
        <w:t>http://www.health.state.mn.us/divs/climatechange/docs/mnclimvulnreport.pdf</w:t>
      </w:r>
    </w:p>
  </w:endnote>
  <w:endnote w:id="307">
    <w:p w14:paraId="53C1BABB" w14:textId="77777777" w:rsidR="006506BB" w:rsidRPr="00CE2196" w:rsidRDefault="006506BB" w:rsidP="00FC7DC8">
      <w:pPr>
        <w:pStyle w:val="EndnoteText"/>
        <w:rPr>
          <w:sz w:val="16"/>
          <w:szCs w:val="16"/>
        </w:rPr>
      </w:pPr>
      <w:r w:rsidRPr="00CE2196">
        <w:rPr>
          <w:rStyle w:val="EndnoteReference"/>
          <w:sz w:val="16"/>
          <w:szCs w:val="16"/>
        </w:rPr>
        <w:endnoteRef/>
      </w:r>
      <w:r w:rsidRPr="00CE2196">
        <w:rPr>
          <w:sz w:val="16"/>
          <w:szCs w:val="16"/>
        </w:rPr>
        <w:t xml:space="preserve"> “Cities Leading through Energy Analysis and Planning,” U.S. Department of Energy, accessed April 12, 2016, http://energy.gov/eere/cities-leading-through-energy-analysis-and-planning</w:t>
      </w:r>
    </w:p>
  </w:endnote>
  <w:endnote w:id="308">
    <w:p w14:paraId="4A2581E2" w14:textId="77777777" w:rsidR="006506BB" w:rsidRPr="00CE2196" w:rsidRDefault="006506BB" w:rsidP="00FC7DC8">
      <w:pPr>
        <w:pStyle w:val="EndnoteText"/>
        <w:rPr>
          <w:sz w:val="16"/>
          <w:szCs w:val="16"/>
        </w:rPr>
      </w:pPr>
      <w:r w:rsidRPr="00CE2196">
        <w:rPr>
          <w:rStyle w:val="EndnoteReference"/>
          <w:sz w:val="16"/>
          <w:szCs w:val="16"/>
        </w:rPr>
        <w:endnoteRef/>
      </w:r>
      <w:r w:rsidRPr="00CE2196">
        <w:rPr>
          <w:sz w:val="16"/>
          <w:szCs w:val="16"/>
        </w:rPr>
        <w:t xml:space="preserve"> Cheryl Jenkins, Peter </w:t>
      </w:r>
      <w:proofErr w:type="spellStart"/>
      <w:r w:rsidRPr="00CE2196">
        <w:rPr>
          <w:sz w:val="16"/>
          <w:szCs w:val="16"/>
        </w:rPr>
        <w:t>Adamczyk</w:t>
      </w:r>
      <w:proofErr w:type="spellEnd"/>
      <w:r w:rsidRPr="00CE2196">
        <w:rPr>
          <w:sz w:val="16"/>
          <w:szCs w:val="16"/>
        </w:rPr>
        <w:t xml:space="preserve">, Shawn </w:t>
      </w:r>
      <w:proofErr w:type="spellStart"/>
      <w:r w:rsidRPr="00CE2196">
        <w:rPr>
          <w:sz w:val="16"/>
          <w:szCs w:val="16"/>
        </w:rPr>
        <w:t>Enterline</w:t>
      </w:r>
      <w:proofErr w:type="spellEnd"/>
      <w:r w:rsidRPr="00CE2196">
        <w:rPr>
          <w:sz w:val="16"/>
          <w:szCs w:val="16"/>
        </w:rPr>
        <w:t xml:space="preserve">, and Dan Quinlan, </w:t>
      </w:r>
      <w:r w:rsidRPr="00CE2196">
        <w:rPr>
          <w:i/>
          <w:sz w:val="16"/>
          <w:szCs w:val="16"/>
        </w:rPr>
        <w:t>Guide to Community Energy Strategic Planning</w:t>
      </w:r>
      <w:r w:rsidRPr="00CE2196">
        <w:rPr>
          <w:sz w:val="16"/>
          <w:szCs w:val="16"/>
        </w:rPr>
        <w:t xml:space="preserve">, prepared by Vermont Energy Investment Corporation for U.S. Department of Energy, March 2013, </w:t>
      </w:r>
      <w:r w:rsidRPr="00CE2196">
        <w:rPr>
          <w:rFonts w:cs="Lucida Grande"/>
          <w:sz w:val="16"/>
          <w:szCs w:val="16"/>
        </w:rPr>
        <w:t>http://energy.gov/eere/slsc/guide-community-energy-strategic-planning</w:t>
      </w:r>
    </w:p>
  </w:endnote>
  <w:endnote w:id="309">
    <w:p w14:paraId="1BF49A43" w14:textId="77777777" w:rsidR="006506BB" w:rsidRPr="00DB5D21" w:rsidRDefault="006506BB" w:rsidP="00FC7DC8">
      <w:pPr>
        <w:pStyle w:val="EndnoteText"/>
        <w:rPr>
          <w:sz w:val="16"/>
          <w:szCs w:val="16"/>
        </w:rPr>
      </w:pPr>
      <w:r w:rsidRPr="00DB5D21">
        <w:rPr>
          <w:rStyle w:val="EndnoteReference"/>
          <w:sz w:val="16"/>
          <w:szCs w:val="16"/>
        </w:rPr>
        <w:endnoteRef/>
      </w:r>
      <w:r w:rsidRPr="00DB5D21">
        <w:rPr>
          <w:sz w:val="16"/>
          <w:szCs w:val="16"/>
        </w:rPr>
        <w:t xml:space="preserve"> Erik Fowler, Kaitlyn Bunker, Stephen </w:t>
      </w:r>
      <w:proofErr w:type="spellStart"/>
      <w:r w:rsidRPr="00DB5D21">
        <w:rPr>
          <w:sz w:val="16"/>
          <w:szCs w:val="16"/>
        </w:rPr>
        <w:t>Doig</w:t>
      </w:r>
      <w:proofErr w:type="spellEnd"/>
      <w:r w:rsidRPr="00DB5D21">
        <w:rPr>
          <w:sz w:val="16"/>
          <w:szCs w:val="16"/>
        </w:rPr>
        <w:t xml:space="preserve">, James Mandel, and Christa Owens Michelet, </w:t>
      </w:r>
      <w:r w:rsidRPr="00DB5D21">
        <w:rPr>
          <w:i/>
          <w:sz w:val="16"/>
          <w:szCs w:val="16"/>
        </w:rPr>
        <w:t>Community Energy Resource Guide,</w:t>
      </w:r>
      <w:r w:rsidRPr="00DB5D21">
        <w:rPr>
          <w:sz w:val="16"/>
          <w:szCs w:val="16"/>
        </w:rPr>
        <w:t xml:space="preserve"> Rocky Mountain Institute, December 2015,  </w:t>
      </w:r>
      <w:hyperlink r:id="rId231" w:history="1">
        <w:r w:rsidRPr="00DB5D21">
          <w:rPr>
            <w:rStyle w:val="Hyperlink"/>
            <w:sz w:val="16"/>
            <w:szCs w:val="16"/>
          </w:rPr>
          <w:t>http://www.rmi.org/community_energy_guide</w:t>
        </w:r>
      </w:hyperlink>
    </w:p>
  </w:endnote>
  <w:endnote w:id="310">
    <w:p w14:paraId="11CECA0B" w14:textId="77777777" w:rsidR="006506BB" w:rsidRPr="005732EA" w:rsidRDefault="006506BB" w:rsidP="00FC7DC8">
      <w:pPr>
        <w:rPr>
          <w:sz w:val="16"/>
          <w:szCs w:val="16"/>
          <w:lang w:val="it-IT"/>
        </w:rPr>
      </w:pPr>
      <w:r w:rsidRPr="005732EA">
        <w:rPr>
          <w:rStyle w:val="EndnoteReference"/>
          <w:sz w:val="16"/>
          <w:szCs w:val="16"/>
        </w:rPr>
        <w:endnoteRef/>
      </w:r>
      <w:r w:rsidRPr="005732EA">
        <w:rPr>
          <w:sz w:val="16"/>
          <w:szCs w:val="16"/>
          <w:lang w:val="it-IT"/>
        </w:rPr>
        <w:t xml:space="preserve"> </w:t>
      </w:r>
      <w:r w:rsidRPr="005732EA">
        <w:rPr>
          <w:sz w:val="16"/>
          <w:szCs w:val="16"/>
        </w:rPr>
        <w:t xml:space="preserve">Ryan Wiser and </w:t>
      </w:r>
      <w:proofErr w:type="spellStart"/>
      <w:r w:rsidRPr="005732EA">
        <w:rPr>
          <w:sz w:val="16"/>
          <w:szCs w:val="16"/>
        </w:rPr>
        <w:t>Changgui</w:t>
      </w:r>
      <w:proofErr w:type="spellEnd"/>
      <w:r w:rsidRPr="005732EA">
        <w:rPr>
          <w:sz w:val="16"/>
          <w:szCs w:val="16"/>
        </w:rPr>
        <w:t xml:space="preserve"> Dong, “The Impact of City-level Permitting Processes on Residential Photovoltaic Installation Prices and Development Times: An Empirical Analysis of Solar Systems in California Cities,” Ernest Orlando Lawrence Berkeley National Laboratory, April 2013, </w:t>
      </w:r>
      <w:hyperlink r:id="rId232" w:history="1">
        <w:r w:rsidRPr="005732EA">
          <w:rPr>
            <w:rStyle w:val="Hyperlink"/>
            <w:sz w:val="16"/>
            <w:szCs w:val="16"/>
          </w:rPr>
          <w:t>https://emp.lbl.gov/sites/all/files/lbnl-6140e.pdf</w:t>
        </w:r>
      </w:hyperlink>
      <w:r w:rsidRPr="005732EA">
        <w:rPr>
          <w:sz w:val="16"/>
          <w:szCs w:val="16"/>
        </w:rPr>
        <w:t>.</w:t>
      </w:r>
    </w:p>
  </w:endnote>
  <w:endnote w:id="311">
    <w:p w14:paraId="4529C955"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“Climate Solutions and Economic Opportunities: Technical Information,” Environmental Initiative, 2016, </w:t>
      </w:r>
      <w:hyperlink r:id="rId233" w:history="1">
        <w:r w:rsidRPr="00301680">
          <w:rPr>
            <w:rStyle w:val="Hyperlink"/>
            <w:sz w:val="16"/>
            <w:szCs w:val="16"/>
          </w:rPr>
          <w:t>http://www.environmental-initiative.org/our-work/environmental-policy/climate-solutions-economic-opportunities/technical-information-cseo-stakeholder-engagement</w:t>
        </w:r>
      </w:hyperlink>
      <w:r w:rsidRPr="00301680">
        <w:rPr>
          <w:sz w:val="16"/>
          <w:szCs w:val="16"/>
        </w:rPr>
        <w:t xml:space="preserve"> </w:t>
      </w:r>
    </w:p>
  </w:endnote>
  <w:endnote w:id="312">
    <w:p w14:paraId="6F1DAAB3" w14:textId="77777777" w:rsidR="006506BB" w:rsidRPr="00301680" w:rsidRDefault="006506BB" w:rsidP="00FC7DC8">
      <w:pPr>
        <w:rPr>
          <w:sz w:val="16"/>
          <w:szCs w:val="16"/>
        </w:rPr>
      </w:pPr>
      <w:r w:rsidRPr="00301680">
        <w:rPr>
          <w:rStyle w:val="EndnoteReference"/>
          <w:sz w:val="16"/>
          <w:szCs w:val="16"/>
        </w:rPr>
        <w:endnoteRef/>
      </w:r>
      <w:r w:rsidRPr="00301680">
        <w:rPr>
          <w:sz w:val="16"/>
          <w:szCs w:val="16"/>
        </w:rPr>
        <w:t xml:space="preserve"> “Community Solar Gardens,” Clean Energy Resource Teams, accessed April 12, 2016, </w:t>
      </w:r>
      <w:hyperlink r:id="rId234" w:anchor="current" w:history="1">
        <w:r w:rsidRPr="00301680">
          <w:rPr>
            <w:rStyle w:val="Hyperlink"/>
            <w:sz w:val="16"/>
            <w:szCs w:val="16"/>
          </w:rPr>
          <w:t>http://www.cleanenergyresourceteams.org/solargardens#current</w:t>
        </w:r>
      </w:hyperlink>
      <w:r w:rsidRPr="00301680">
        <w:rPr>
          <w:sz w:val="16"/>
          <w:szCs w:val="16"/>
        </w:rPr>
        <w:t xml:space="preserve"> </w:t>
      </w:r>
    </w:p>
  </w:endnote>
  <w:endnote w:id="313">
    <w:p w14:paraId="602A99A6"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“Clean Energy Resource Teams,” Clean Energy Resource Teams, accessed April 12, 2016, http://www.cleanenergyresourceteams.org/</w:t>
      </w:r>
    </w:p>
  </w:endnote>
  <w:endnote w:id="314">
    <w:p w14:paraId="5D5562A0"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Holly </w:t>
      </w:r>
      <w:proofErr w:type="spellStart"/>
      <w:r w:rsidRPr="00301680">
        <w:rPr>
          <w:sz w:val="16"/>
          <w:szCs w:val="16"/>
        </w:rPr>
        <w:t>Lahd</w:t>
      </w:r>
      <w:proofErr w:type="spellEnd"/>
      <w:r w:rsidRPr="00301680">
        <w:rPr>
          <w:sz w:val="16"/>
          <w:szCs w:val="16"/>
        </w:rPr>
        <w:t xml:space="preserve">,“Solar for All—Bringing Solar Options to all </w:t>
      </w:r>
      <w:proofErr w:type="spellStart"/>
      <w:r w:rsidRPr="00301680">
        <w:rPr>
          <w:sz w:val="16"/>
          <w:szCs w:val="16"/>
        </w:rPr>
        <w:t>Minnesotans,”Fresh</w:t>
      </w:r>
      <w:proofErr w:type="spellEnd"/>
      <w:r w:rsidRPr="00301680">
        <w:rPr>
          <w:sz w:val="16"/>
          <w:szCs w:val="16"/>
        </w:rPr>
        <w:t xml:space="preserve"> Energy, September 1, 2015, http://fresh-energy.org/2015/09/solar-for-all-bringing-solar-options-to-all-minnesotans/</w:t>
      </w:r>
    </w:p>
  </w:endnote>
  <w:endnote w:id="315">
    <w:p w14:paraId="2FB56E7D"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“Project and Technical Assistance,” Minnesota Department of Commerce, accessed April 12, 2016, </w:t>
      </w:r>
      <w:hyperlink r:id="rId235" w:history="1">
        <w:r w:rsidRPr="00301680">
          <w:rPr>
            <w:rStyle w:val="Hyperlink"/>
            <w:sz w:val="16"/>
            <w:szCs w:val="16"/>
          </w:rPr>
          <w:t>https://mn.gov/commerce/industries/energy/technical-assistance/</w:t>
        </w:r>
      </w:hyperlink>
      <w:r w:rsidRPr="00301680">
        <w:rPr>
          <w:sz w:val="16"/>
          <w:szCs w:val="16"/>
        </w:rPr>
        <w:t xml:space="preserve"> </w:t>
      </w:r>
    </w:p>
  </w:endnote>
  <w:endnote w:id="316">
    <w:p w14:paraId="5E5C8D7F"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“Technical Assistance,” Minnesota Pollution Control Agency, accessed April 12, 2016, </w:t>
      </w:r>
      <w:hyperlink r:id="rId236" w:history="1">
        <w:r w:rsidRPr="00301680">
          <w:rPr>
            <w:rStyle w:val="Hyperlink"/>
            <w:sz w:val="16"/>
            <w:szCs w:val="16"/>
          </w:rPr>
          <w:t>https://www.pca.state.mn.us/quick-links/technical-assistance</w:t>
        </w:r>
      </w:hyperlink>
      <w:r w:rsidRPr="00301680">
        <w:rPr>
          <w:sz w:val="16"/>
          <w:szCs w:val="16"/>
        </w:rPr>
        <w:t xml:space="preserve"> </w:t>
      </w:r>
    </w:p>
  </w:endnote>
  <w:endnote w:id="317">
    <w:p w14:paraId="1FAD240B"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“Financial assistance,” Minnesota Department of Commerce, accessed April 12, 2016, </w:t>
      </w:r>
      <w:r w:rsidRPr="00301680">
        <w:rPr>
          <w:rFonts w:cs="Lucida Grande"/>
          <w:sz w:val="16"/>
          <w:szCs w:val="16"/>
        </w:rPr>
        <w:t>https://mn.gov/commerce/industries/energy/financial-assistance/</w:t>
      </w:r>
    </w:p>
  </w:endnote>
  <w:endnote w:id="318">
    <w:p w14:paraId="504C8AD8"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w:t>
      </w:r>
      <w:hyperlink r:id="rId237" w:history="1">
        <w:r w:rsidRPr="00301680">
          <w:rPr>
            <w:rStyle w:val="Hyperlink"/>
            <w:sz w:val="16"/>
            <w:szCs w:val="16"/>
          </w:rPr>
          <w:t>https://www.pca.state.mn.us/quick-links/technical-assistance</w:t>
        </w:r>
      </w:hyperlink>
      <w:r w:rsidRPr="00301680">
        <w:rPr>
          <w:sz w:val="16"/>
          <w:szCs w:val="16"/>
        </w:rPr>
        <w:t xml:space="preserve"> and </w:t>
      </w:r>
      <w:r w:rsidRPr="00301680">
        <w:rPr>
          <w:rFonts w:cs="Lucida Grande"/>
          <w:sz w:val="16"/>
          <w:szCs w:val="16"/>
        </w:rPr>
        <w:t>https://mn.gov/commerce/industries/energy/financial-assistance/</w:t>
      </w:r>
      <w:r w:rsidRPr="00301680">
        <w:rPr>
          <w:sz w:val="16"/>
          <w:szCs w:val="16"/>
        </w:rPr>
        <w:t xml:space="preserve"> </w:t>
      </w:r>
      <w:proofErr w:type="spellStart"/>
      <w:r w:rsidRPr="00301680">
        <w:rPr>
          <w:sz w:val="16"/>
          <w:szCs w:val="16"/>
        </w:rPr>
        <w:t>and“Grants</w:t>
      </w:r>
      <w:proofErr w:type="spellEnd"/>
      <w:r w:rsidRPr="00301680">
        <w:rPr>
          <w:sz w:val="16"/>
          <w:szCs w:val="16"/>
        </w:rPr>
        <w:t>,” Minnesota Department of Natural Resources, 2016 http://www.dnr.state.mn.us/grants/index.html</w:t>
      </w:r>
    </w:p>
  </w:endnote>
  <w:endnote w:id="319">
    <w:p w14:paraId="237759EF"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Brian Ross and Abby Finis, </w:t>
      </w:r>
      <w:r w:rsidRPr="00301680">
        <w:rPr>
          <w:i/>
          <w:sz w:val="16"/>
          <w:szCs w:val="16"/>
        </w:rPr>
        <w:t xml:space="preserve">Local Government Solar Toolkit: Minnesota, </w:t>
      </w:r>
      <w:r w:rsidRPr="00301680">
        <w:rPr>
          <w:sz w:val="16"/>
          <w:szCs w:val="16"/>
        </w:rPr>
        <w:t>Grow Solar, 2015 http://www.growsolar.org/wp-content/uploads/2015/04/Minnesota-Toolkit.pdf and http://www.growsolar.org/technical-assistance/</w:t>
      </w:r>
    </w:p>
  </w:endnote>
  <w:endnote w:id="320">
    <w:p w14:paraId="34C1FB05"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“Technical Assistance,” Grow Solar, 2016, http://www.growsolar.org/technical-assistance/</w:t>
      </w:r>
    </w:p>
  </w:endnote>
  <w:endnote w:id="321">
    <w:p w14:paraId="10C7B673"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“Solar photovoltaic (PV) resources,” Minnesota Department of Labor and Industry, accessed April 12, 2016, </w:t>
      </w:r>
      <w:hyperlink r:id="rId238">
        <w:r w:rsidRPr="00301680">
          <w:rPr>
            <w:color w:val="1155CC"/>
            <w:sz w:val="16"/>
            <w:szCs w:val="16"/>
            <w:u w:val="single"/>
          </w:rPr>
          <w:t>http://www.dli.mn.gov/CCLD/ElectricalS</w:t>
        </w:r>
        <w:bookmarkStart w:id="287" w:name="_GoBack"/>
        <w:bookmarkEnd w:id="287"/>
        <w:r w:rsidRPr="00301680">
          <w:rPr>
            <w:color w:val="1155CC"/>
            <w:sz w:val="16"/>
            <w:szCs w:val="16"/>
            <w:u w:val="single"/>
          </w:rPr>
          <w:t>olar.asp</w:t>
        </w:r>
      </w:hyperlink>
    </w:p>
  </w:endnote>
  <w:endnote w:id="322">
    <w:p w14:paraId="58AF2621" w14:textId="77777777" w:rsidR="006506BB" w:rsidRPr="00301680" w:rsidRDefault="006506BB" w:rsidP="00FC7DC8">
      <w:pPr>
        <w:pStyle w:val="EndnoteText"/>
        <w:rPr>
          <w:sz w:val="16"/>
          <w:szCs w:val="16"/>
        </w:rPr>
      </w:pPr>
      <w:r w:rsidRPr="00301680">
        <w:rPr>
          <w:rStyle w:val="EndnoteReference"/>
          <w:sz w:val="16"/>
          <w:szCs w:val="16"/>
        </w:rPr>
        <w:endnoteRef/>
      </w:r>
      <w:r w:rsidRPr="00301680">
        <w:rPr>
          <w:sz w:val="16"/>
          <w:szCs w:val="16"/>
        </w:rPr>
        <w:t xml:space="preserve"> “About Solar Roadmap,” </w:t>
      </w:r>
      <w:proofErr w:type="spellStart"/>
      <w:r w:rsidRPr="00301680">
        <w:rPr>
          <w:sz w:val="16"/>
          <w:szCs w:val="16"/>
        </w:rPr>
        <w:t>Optony</w:t>
      </w:r>
      <w:proofErr w:type="spellEnd"/>
      <w:r w:rsidRPr="00301680">
        <w:rPr>
          <w:sz w:val="16"/>
          <w:szCs w:val="16"/>
        </w:rPr>
        <w:t xml:space="preserve">, Inc., April 12, 2016, </w:t>
      </w:r>
      <w:hyperlink r:id="rId239" w:history="1">
        <w:r w:rsidRPr="00301680">
          <w:rPr>
            <w:rStyle w:val="Hyperlink"/>
            <w:sz w:val="16"/>
            <w:szCs w:val="16"/>
          </w:rPr>
          <w:t>http://www.solarroadmap.com/about/</w:t>
        </w:r>
      </w:hyperlink>
      <w:r w:rsidRPr="00301680">
        <w:rPr>
          <w:sz w:val="16"/>
          <w:szCs w:val="16"/>
        </w:rPr>
        <w:t xml:space="preserve"> </w:t>
      </w:r>
    </w:p>
  </w:endnote>
  <w:endnote w:id="323">
    <w:p w14:paraId="52569D59" w14:textId="77777777" w:rsidR="006506BB" w:rsidRPr="003B589C" w:rsidRDefault="006506BB" w:rsidP="00FC7DC8">
      <w:pPr>
        <w:pStyle w:val="EndnoteText"/>
      </w:pPr>
      <w:r w:rsidRPr="00301680">
        <w:rPr>
          <w:rStyle w:val="EndnoteReference"/>
          <w:sz w:val="16"/>
          <w:szCs w:val="16"/>
        </w:rPr>
        <w:endnoteRef/>
      </w:r>
      <w:r w:rsidRPr="00301680">
        <w:rPr>
          <w:sz w:val="16"/>
          <w:szCs w:val="16"/>
        </w:rPr>
        <w:t xml:space="preserve"> “Database of State Incentives for Renewables and Efficiency,” DSIRE, NC Clean Energy Technology Center, accessed April 12, 2016, </w:t>
      </w:r>
      <w:hyperlink r:id="rId240" w:history="1">
        <w:r w:rsidRPr="00301680">
          <w:rPr>
            <w:rStyle w:val="Hyperlink"/>
            <w:sz w:val="16"/>
            <w:szCs w:val="16"/>
          </w:rPr>
          <w:t>http://www.dsireusa.org/</w:t>
        </w:r>
      </w:hyperlink>
      <w:r w:rsidRPr="003B589C">
        <w:t xml:space="preserve"> </w:t>
      </w:r>
    </w:p>
  </w:endnote>
  <w:endnote w:id="324">
    <w:p w14:paraId="17DA7BDA" w14:textId="77777777" w:rsidR="006506BB" w:rsidRPr="00157E21" w:rsidRDefault="006506BB" w:rsidP="00B95D21">
      <w:pPr>
        <w:rPr>
          <w:sz w:val="16"/>
          <w:szCs w:val="16"/>
          <w:lang w:val="it-IT"/>
        </w:rPr>
      </w:pPr>
      <w:r w:rsidRPr="00157E21">
        <w:rPr>
          <w:rStyle w:val="EndnoteReference"/>
          <w:sz w:val="16"/>
          <w:szCs w:val="16"/>
        </w:rPr>
        <w:endnoteRef/>
      </w:r>
      <w:r w:rsidRPr="00157E21">
        <w:rPr>
          <w:sz w:val="16"/>
          <w:szCs w:val="16"/>
          <w:lang w:val="it-IT"/>
        </w:rPr>
        <w:t xml:space="preserve"> </w:t>
      </w:r>
      <w:r w:rsidRPr="00157E21">
        <w:rPr>
          <w:i/>
          <w:sz w:val="16"/>
          <w:szCs w:val="16"/>
        </w:rPr>
        <w:t>Minnesota Renewable Energy Integration and Transmission Study, Final Report</w:t>
      </w:r>
      <w:r w:rsidRPr="00157E21">
        <w:rPr>
          <w:sz w:val="16"/>
          <w:szCs w:val="16"/>
        </w:rPr>
        <w:t xml:space="preserve">, prepared by GE Energy Consulting for Minnesota Utilities and Transmission Companies and the Minnesota Department of Commerce, October 31, 2014, </w:t>
      </w:r>
      <w:hyperlink r:id="rId241" w:history="1">
        <w:r w:rsidRPr="00157E21">
          <w:rPr>
            <w:rStyle w:val="Hyperlink"/>
            <w:sz w:val="16"/>
            <w:szCs w:val="16"/>
          </w:rPr>
          <w:t>http://mn.gov/commerce-stat/pdfs/mrits-report-2014.pdf</w:t>
        </w:r>
      </w:hyperlink>
      <w:r w:rsidRPr="00157E21">
        <w:rPr>
          <w:sz w:val="16"/>
          <w:szCs w:val="16"/>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Malgun Gothic"/>
    <w:charset w:val="00"/>
    <w:family w:val="auto"/>
    <w:pitch w:val="variable"/>
    <w:sig w:usb0="00000003" w:usb1="500079DB" w:usb2="0000001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UltraLight">
    <w:charset w:val="00"/>
    <w:family w:val="auto"/>
    <w:pitch w:val="variable"/>
    <w:sig w:usb0="A00002FF" w:usb1="5000205B" w:usb2="00000002" w:usb3="00000000" w:csb0="00000001" w:csb1="00000000"/>
  </w:font>
  <w:font w:name="Helvetica Neue Medium">
    <w:altName w:val="Arial"/>
    <w:charset w:val="00"/>
    <w:family w:val="auto"/>
    <w:pitch w:val="variable"/>
    <w:sig w:usb0="00000001" w:usb1="5000205B" w:usb2="00000002" w:usb3="00000000" w:csb0="0000009B" w:csb1="00000000"/>
  </w:font>
  <w:font w:name="Helvetica Neue Light">
    <w:altName w:val="Franklin Gothic"/>
    <w:charset w:val="00"/>
    <w:family w:val="auto"/>
    <w:pitch w:val="variable"/>
    <w:sig w:usb0="00000001" w:usb1="5000205B" w:usb2="00000002" w:usb3="00000000" w:csb0="00000007"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erriweather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D9FCD" w14:textId="77777777" w:rsidR="006506BB" w:rsidRDefault="006506BB">
    <w:pPr>
      <w:pStyle w:val="Footer"/>
    </w:pPr>
    <w:r>
      <w:rPr>
        <w:noProof/>
        <w:lang w:eastAsia="en-US"/>
      </w:rPr>
      <w:drawing>
        <wp:anchor distT="0" distB="0" distL="114300" distR="114300" simplePos="0" relativeHeight="251667456" behindDoc="0" locked="0" layoutInCell="1" allowOverlap="1" wp14:anchorId="409B8555" wp14:editId="2956E074">
          <wp:simplePos x="0" y="0"/>
          <wp:positionH relativeFrom="column">
            <wp:posOffset>-748665</wp:posOffset>
          </wp:positionH>
          <wp:positionV relativeFrom="paragraph">
            <wp:posOffset>-47625</wp:posOffset>
          </wp:positionV>
          <wp:extent cx="907262" cy="426720"/>
          <wp:effectExtent l="0" t="0" r="762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_logofinal.eps"/>
                  <pic:cNvPicPr/>
                </pic:nvPicPr>
                <pic:blipFill>
                  <a:blip r:embed="rId1">
                    <a:extLst>
                      <a:ext uri="{28A0092B-C50C-407E-A947-70E740481C1C}">
                        <a14:useLocalDpi xmlns:a14="http://schemas.microsoft.com/office/drawing/2010/main" val="0"/>
                      </a:ext>
                    </a:extLst>
                  </a:blip>
                  <a:stretch>
                    <a:fillRect/>
                  </a:stretch>
                </pic:blipFill>
                <pic:spPr>
                  <a:xfrm>
                    <a:off x="0" y="0"/>
                    <a:ext cx="907262" cy="42672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0596E7" w14:textId="77777777" w:rsidR="006506BB" w:rsidRDefault="006506BB" w:rsidP="00C52F30">
    <w:pPr>
      <w:ind w:right="-450"/>
      <w:jc w:val="right"/>
      <w:textAlignment w:val="baseline"/>
      <w:rPr>
        <w:rFonts w:eastAsia="Times New Roman" w:cs="Times New Roman"/>
        <w:i/>
        <w:iCs/>
        <w:color w:val="696969" w:themeColor="text1" w:themeTint="A6"/>
        <w:sz w:val="15"/>
        <w:szCs w:val="15"/>
      </w:rPr>
    </w:pPr>
    <w:r>
      <w:rPr>
        <w:noProof/>
        <w:lang w:eastAsia="en-US"/>
      </w:rPr>
      <w:drawing>
        <wp:anchor distT="0" distB="0" distL="114300" distR="114300" simplePos="0" relativeHeight="251668480" behindDoc="0" locked="0" layoutInCell="1" allowOverlap="1" wp14:anchorId="04ED7C10" wp14:editId="25BD34F3">
          <wp:simplePos x="0" y="0"/>
          <wp:positionH relativeFrom="column">
            <wp:posOffset>-311785</wp:posOffset>
          </wp:positionH>
          <wp:positionV relativeFrom="paragraph">
            <wp:posOffset>-164465</wp:posOffset>
          </wp:positionV>
          <wp:extent cx="591820" cy="5918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Lab-01.eps"/>
                  <pic:cNvPicPr/>
                </pic:nvPicPr>
                <pic:blipFill>
                  <a:blip r:embed="rId1">
                    <a:extLst>
                      <a:ext uri="{28A0092B-C50C-407E-A947-70E740481C1C}">
                        <a14:useLocalDpi xmlns:a14="http://schemas.microsoft.com/office/drawing/2010/main" val="0"/>
                      </a:ext>
                    </a:extLst>
                  </a:blip>
                  <a:stretch>
                    <a:fillRect/>
                  </a:stretch>
                </pic:blipFill>
                <pic:spPr>
                  <a:xfrm>
                    <a:off x="0" y="0"/>
                    <a:ext cx="591820" cy="591820"/>
                  </a:xfrm>
                  <a:prstGeom prst="rect">
                    <a:avLst/>
                  </a:prstGeom>
                </pic:spPr>
              </pic:pic>
            </a:graphicData>
          </a:graphic>
          <wp14:sizeRelH relativeFrom="page">
            <wp14:pctWidth>0</wp14:pctWidth>
          </wp14:sizeRelH>
          <wp14:sizeRelV relativeFrom="page">
            <wp14:pctHeight>0</wp14:pctHeight>
          </wp14:sizeRelV>
        </wp:anchor>
      </w:drawing>
    </w:r>
  </w:p>
  <w:p w14:paraId="3B7B03B2" w14:textId="77777777" w:rsidR="006506BB" w:rsidRDefault="006506BB" w:rsidP="00C52F30">
    <w:pPr>
      <w:ind w:right="-450"/>
      <w:jc w:val="right"/>
      <w:textAlignment w:val="baseline"/>
      <w:rPr>
        <w:rFonts w:eastAsia="Times New Roman" w:cs="Times New Roman"/>
        <w:i/>
        <w:iCs/>
        <w:color w:val="696969" w:themeColor="text1" w:themeTint="A6"/>
        <w:sz w:val="15"/>
        <w:szCs w:val="15"/>
      </w:rPr>
    </w:pPr>
  </w:p>
  <w:p w14:paraId="79498D17" w14:textId="77777777" w:rsidR="006506BB" w:rsidRPr="00F01D78" w:rsidRDefault="006506BB" w:rsidP="008155D7">
    <w:pPr>
      <w:ind w:right="-270"/>
      <w:jc w:val="right"/>
      <w:textAlignment w:val="baseline"/>
      <w:rPr>
        <w:rFonts w:eastAsia="Times New Roman" w:cs="Times New Roman"/>
        <w:i/>
        <w:iCs/>
        <w:color w:val="696969" w:themeColor="text1" w:themeTint="A6"/>
        <w:sz w:val="15"/>
        <w:szCs w:val="15"/>
        <w:vertAlign w:val="superscrip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AF850" w14:textId="77777777" w:rsidR="006506BB" w:rsidRDefault="006506BB">
    <w:pPr>
      <w:pStyle w:val="Footer"/>
    </w:pPr>
    <w:r>
      <w:rPr>
        <w:noProof/>
        <w:lang w:eastAsia="en-US"/>
      </w:rPr>
      <w:drawing>
        <wp:anchor distT="0" distB="0" distL="114300" distR="114300" simplePos="0" relativeHeight="251659264" behindDoc="0" locked="0" layoutInCell="1" allowOverlap="1" wp14:anchorId="409B8555" wp14:editId="2956E074">
          <wp:simplePos x="0" y="0"/>
          <wp:positionH relativeFrom="column">
            <wp:posOffset>-748665</wp:posOffset>
          </wp:positionH>
          <wp:positionV relativeFrom="paragraph">
            <wp:posOffset>-47625</wp:posOffset>
          </wp:positionV>
          <wp:extent cx="907262" cy="426720"/>
          <wp:effectExtent l="0" t="0" r="762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_logofinal.eps"/>
                  <pic:cNvPicPr/>
                </pic:nvPicPr>
                <pic:blipFill>
                  <a:blip r:embed="rId1">
                    <a:extLst>
                      <a:ext uri="{28A0092B-C50C-407E-A947-70E740481C1C}">
                        <a14:useLocalDpi xmlns:a14="http://schemas.microsoft.com/office/drawing/2010/main" val="0"/>
                      </a:ext>
                    </a:extLst>
                  </a:blip>
                  <a:stretch>
                    <a:fillRect/>
                  </a:stretch>
                </pic:blipFill>
                <pic:spPr>
                  <a:xfrm>
                    <a:off x="0" y="0"/>
                    <a:ext cx="907262" cy="42672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8C796" w14:textId="77777777" w:rsidR="006506BB" w:rsidRDefault="006506BB" w:rsidP="00C52F30">
    <w:pPr>
      <w:ind w:right="-450"/>
      <w:jc w:val="right"/>
      <w:textAlignment w:val="baseline"/>
      <w:rPr>
        <w:rFonts w:eastAsia="Times New Roman" w:cs="Times New Roman"/>
        <w:i/>
        <w:iCs/>
        <w:color w:val="696969" w:themeColor="text1" w:themeTint="A6"/>
        <w:sz w:val="15"/>
        <w:szCs w:val="15"/>
      </w:rPr>
    </w:pPr>
    <w:r>
      <w:rPr>
        <w:noProof/>
        <w:lang w:eastAsia="en-US"/>
      </w:rPr>
      <w:drawing>
        <wp:anchor distT="0" distB="0" distL="114300" distR="114300" simplePos="0" relativeHeight="251665408" behindDoc="0" locked="0" layoutInCell="1" allowOverlap="1" wp14:anchorId="04ED7C10" wp14:editId="25BD34F3">
          <wp:simplePos x="0" y="0"/>
          <wp:positionH relativeFrom="column">
            <wp:posOffset>-311785</wp:posOffset>
          </wp:positionH>
          <wp:positionV relativeFrom="paragraph">
            <wp:posOffset>-164465</wp:posOffset>
          </wp:positionV>
          <wp:extent cx="591820" cy="5918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_Lab-01.eps"/>
                  <pic:cNvPicPr/>
                </pic:nvPicPr>
                <pic:blipFill>
                  <a:blip r:embed="rId1">
                    <a:extLst>
                      <a:ext uri="{28A0092B-C50C-407E-A947-70E740481C1C}">
                        <a14:useLocalDpi xmlns:a14="http://schemas.microsoft.com/office/drawing/2010/main" val="0"/>
                      </a:ext>
                    </a:extLst>
                  </a:blip>
                  <a:stretch>
                    <a:fillRect/>
                  </a:stretch>
                </pic:blipFill>
                <pic:spPr>
                  <a:xfrm>
                    <a:off x="0" y="0"/>
                    <a:ext cx="591820" cy="591820"/>
                  </a:xfrm>
                  <a:prstGeom prst="rect">
                    <a:avLst/>
                  </a:prstGeom>
                </pic:spPr>
              </pic:pic>
            </a:graphicData>
          </a:graphic>
          <wp14:sizeRelH relativeFrom="page">
            <wp14:pctWidth>0</wp14:pctWidth>
          </wp14:sizeRelH>
          <wp14:sizeRelV relativeFrom="page">
            <wp14:pctHeight>0</wp14:pctHeight>
          </wp14:sizeRelV>
        </wp:anchor>
      </w:drawing>
    </w:r>
  </w:p>
  <w:p w14:paraId="0C4DA1E2" w14:textId="77777777" w:rsidR="006506BB" w:rsidRDefault="006506BB" w:rsidP="00C52F30">
    <w:pPr>
      <w:ind w:right="-450"/>
      <w:jc w:val="right"/>
      <w:textAlignment w:val="baseline"/>
      <w:rPr>
        <w:rFonts w:eastAsia="Times New Roman" w:cs="Times New Roman"/>
        <w:i/>
        <w:iCs/>
        <w:color w:val="696969" w:themeColor="text1" w:themeTint="A6"/>
        <w:sz w:val="15"/>
        <w:szCs w:val="15"/>
      </w:rPr>
    </w:pPr>
  </w:p>
  <w:p w14:paraId="7C2D77E4" w14:textId="77777777" w:rsidR="006506BB" w:rsidRPr="00F01D78" w:rsidRDefault="006506BB" w:rsidP="008155D7">
    <w:pPr>
      <w:ind w:right="-270"/>
      <w:jc w:val="right"/>
      <w:textAlignment w:val="baseline"/>
      <w:rPr>
        <w:rFonts w:eastAsia="Times New Roman" w:cs="Times New Roman"/>
        <w:i/>
        <w:iCs/>
        <w:color w:val="696969" w:themeColor="text1" w:themeTint="A6"/>
        <w:sz w:val="15"/>
        <w:szCs w:val="15"/>
        <w:vertAlign w:val="superscri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90E238" w14:textId="77777777" w:rsidR="006506BB" w:rsidRDefault="006506BB" w:rsidP="00DD7DB3">
      <w:r>
        <w:separator/>
      </w:r>
    </w:p>
  </w:footnote>
  <w:footnote w:type="continuationSeparator" w:id="0">
    <w:p w14:paraId="5F3C7B8B" w14:textId="77777777" w:rsidR="006506BB" w:rsidRDefault="006506BB" w:rsidP="00DD7DB3">
      <w:r>
        <w:continuationSeparator/>
      </w:r>
    </w:p>
  </w:footnote>
  <w:footnote w:id="1">
    <w:p w14:paraId="32D29667" w14:textId="2C2C16C3" w:rsidR="006506BB" w:rsidRDefault="006506BB">
      <w:pPr>
        <w:pStyle w:val="FootnoteText"/>
      </w:pPr>
      <w:r>
        <w:rPr>
          <w:rStyle w:val="FootnoteReference"/>
        </w:rPr>
        <w:footnoteRef/>
      </w:r>
      <w:r>
        <w:t xml:space="preserve"> </w:t>
      </w:r>
      <w:r w:rsidRPr="00C327E5">
        <w:rPr>
          <w:color w:val="4C4C4C" w:themeColor="text2"/>
          <w:sz w:val="16"/>
          <w:szCs w:val="16"/>
        </w:rPr>
        <w:t xml:space="preserve">Lazard’s </w:t>
      </w:r>
      <w:proofErr w:type="spellStart"/>
      <w:r w:rsidRPr="00C327E5">
        <w:rPr>
          <w:color w:val="4C4C4C" w:themeColor="text2"/>
          <w:sz w:val="16"/>
          <w:szCs w:val="16"/>
        </w:rPr>
        <w:t>levelized</w:t>
      </w:r>
      <w:proofErr w:type="spellEnd"/>
      <w:r w:rsidRPr="00C327E5">
        <w:rPr>
          <w:color w:val="4C4C4C" w:themeColor="text2"/>
          <w:sz w:val="16"/>
          <w:szCs w:val="16"/>
        </w:rPr>
        <w:t xml:space="preserve"> cost of energy estimates the cost of energy generated on a dollar per MWh basis, over the lifetime of the investment. This calculation does not take into account federal tax subsidies, social and environmental externalities, integration or reliability considerations, or the impact of the EPA’s Clean Power Plan on the cost of generation.</w:t>
      </w:r>
    </w:p>
  </w:footnote>
  <w:footnote w:id="2">
    <w:p w14:paraId="7B39BE6A" w14:textId="08DF67F6" w:rsidR="006506BB" w:rsidRDefault="006506BB">
      <w:pPr>
        <w:pStyle w:val="FootnoteText"/>
      </w:pPr>
      <w:r>
        <w:rPr>
          <w:rStyle w:val="FootnoteReference"/>
        </w:rPr>
        <w:footnoteRef/>
      </w:r>
      <w:r>
        <w:t xml:space="preserve"> See, for example, a case study for the </w:t>
      </w:r>
      <w:hyperlink r:id="rId1" w:history="1">
        <w:r w:rsidRPr="00BD1650">
          <w:rPr>
            <w:rStyle w:val="Hyperlink"/>
          </w:rPr>
          <w:t>Minnesota History Center</w:t>
        </w:r>
      </w:hyperlink>
      <w:r>
        <w:t>.</w:t>
      </w:r>
    </w:p>
  </w:footnote>
  <w:footnote w:id="3">
    <w:p w14:paraId="37FB14F6" w14:textId="1BF1FAA8" w:rsidR="006506BB" w:rsidRDefault="006506BB">
      <w:pPr>
        <w:pStyle w:val="FootnoteText"/>
      </w:pPr>
      <w:r>
        <w:rPr>
          <w:rStyle w:val="FootnoteReference"/>
        </w:rPr>
        <w:footnoteRef/>
      </w:r>
      <w:r>
        <w:t xml:space="preserve"> </w:t>
      </w:r>
      <w:r w:rsidRPr="001D23E0">
        <w:rPr>
          <w:color w:val="4C4C4C" w:themeColor="text2"/>
          <w:sz w:val="16"/>
          <w:szCs w:val="16"/>
        </w:rPr>
        <w:t xml:space="preserve">Measure against DOC commissioned </w:t>
      </w:r>
      <w:hyperlink r:id="rId2">
        <w:r w:rsidRPr="001D23E0">
          <w:rPr>
            <w:color w:val="4C4C4C" w:themeColor="text2"/>
            <w:sz w:val="16"/>
            <w:szCs w:val="16"/>
            <w:u w:val="single"/>
          </w:rPr>
          <w:t>CHP potential study</w:t>
        </w:r>
      </w:hyperlink>
      <w:r w:rsidRPr="001D23E0">
        <w:rPr>
          <w:color w:val="4C4C4C" w:themeColor="text2"/>
          <w:sz w:val="16"/>
          <w:szCs w:val="16"/>
        </w:rPr>
        <w:t>, which estimated 984 MW of new economical (payback &lt; 10 y) CHP capacity.</w:t>
      </w:r>
    </w:p>
  </w:footnote>
  <w:footnote w:id="4">
    <w:p w14:paraId="4D1BBB5A" w14:textId="748AC3F0" w:rsidR="006506BB" w:rsidRPr="00E1283C" w:rsidRDefault="006506BB" w:rsidP="00E96800">
      <w:pPr>
        <w:pStyle w:val="FootnoteText"/>
        <w:rPr>
          <w:color w:val="4C4C4C" w:themeColor="text2"/>
          <w:sz w:val="16"/>
          <w:szCs w:val="16"/>
        </w:rPr>
      </w:pPr>
      <w:r w:rsidRPr="00E1283C">
        <w:rPr>
          <w:rStyle w:val="FootnoteReference"/>
          <w:color w:val="4C4C4C" w:themeColor="text2"/>
          <w:sz w:val="16"/>
          <w:szCs w:val="16"/>
        </w:rPr>
        <w:footnoteRef/>
      </w:r>
      <w:r w:rsidRPr="00E1283C">
        <w:rPr>
          <w:color w:val="4C4C4C" w:themeColor="text2"/>
          <w:sz w:val="16"/>
          <w:szCs w:val="16"/>
        </w:rPr>
        <w:t xml:space="preserve"> Here we use the EIA definition of industry to include mining, manufacturing, construction, agriculture, forestry, quarrying, fishing, and hunting (NAICS 11, 21, 23, and 31-33). GDP and energy use data shown here correspond to these NAICS codes.</w:t>
      </w:r>
    </w:p>
  </w:footnote>
  <w:footnote w:id="5">
    <w:p w14:paraId="406D43CC" w14:textId="6FBECF90" w:rsidR="006506BB" w:rsidRPr="00E1283C" w:rsidRDefault="006506BB" w:rsidP="00C565C2">
      <w:pPr>
        <w:pStyle w:val="FootnoteText"/>
        <w:rPr>
          <w:color w:val="4C4C4C" w:themeColor="text2"/>
          <w:sz w:val="16"/>
          <w:szCs w:val="16"/>
        </w:rPr>
      </w:pPr>
      <w:r w:rsidRPr="00E1283C">
        <w:rPr>
          <w:rStyle w:val="FootnoteReference"/>
          <w:color w:val="4C4C4C" w:themeColor="text2"/>
          <w:sz w:val="16"/>
          <w:szCs w:val="16"/>
        </w:rPr>
        <w:footnoteRef/>
      </w:r>
      <w:r w:rsidRPr="00E1283C">
        <w:rPr>
          <w:color w:val="4C4C4C" w:themeColor="text2"/>
          <w:sz w:val="16"/>
          <w:szCs w:val="16"/>
        </w:rPr>
        <w:t xml:space="preserve"> </w:t>
      </w:r>
      <w:r>
        <w:rPr>
          <w:color w:val="4C4C4C" w:themeColor="text2"/>
          <w:sz w:val="16"/>
          <w:szCs w:val="16"/>
        </w:rPr>
        <w:t xml:space="preserve">Per </w:t>
      </w:r>
      <w:r w:rsidRPr="00E1283C">
        <w:rPr>
          <w:color w:val="4C4C4C" w:themeColor="text2"/>
          <w:sz w:val="16"/>
          <w:szCs w:val="16"/>
        </w:rPr>
        <w:t>Minnesota Clean Energy Industry Roundtables and Summit convened by multiple state agencie</w:t>
      </w:r>
      <w:r>
        <w:rPr>
          <w:color w:val="4C4C4C" w:themeColor="text2"/>
          <w:sz w:val="16"/>
          <w:szCs w:val="16"/>
        </w:rPr>
        <w:t>s for the clean energy industry:</w:t>
      </w:r>
      <w:r w:rsidRPr="00E1283C">
        <w:rPr>
          <w:color w:val="4C4C4C" w:themeColor="text2"/>
          <w:sz w:val="16"/>
          <w:szCs w:val="16"/>
        </w:rPr>
        <w:t xml:space="preserve"> http://www.lec.leg.mn/2014/RelatedStateActivities.pdf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 w:type="dxa"/>
      <w:tblBorders>
        <w:bottom w:val="single" w:sz="4" w:space="0" w:color="BFBFBF"/>
      </w:tblBorders>
      <w:tblCellMar>
        <w:left w:w="115" w:type="dxa"/>
        <w:right w:w="115" w:type="dxa"/>
      </w:tblCellMar>
      <w:tblLook w:val="04A0" w:firstRow="1" w:lastRow="0" w:firstColumn="1" w:lastColumn="0" w:noHBand="0" w:noVBand="1"/>
    </w:tblPr>
    <w:tblGrid>
      <w:gridCol w:w="437"/>
      <w:gridCol w:w="9873"/>
    </w:tblGrid>
    <w:tr w:rsidR="006506BB" w:rsidRPr="0025191F" w14:paraId="20160706" w14:textId="77777777" w:rsidTr="003244EB">
      <w:tc>
        <w:tcPr>
          <w:tcW w:w="212" w:type="pct"/>
          <w:tcBorders>
            <w:bottom w:val="nil"/>
            <w:right w:val="single" w:sz="4" w:space="0" w:color="BFBFBF"/>
          </w:tcBorders>
        </w:tcPr>
        <w:p w14:paraId="21791262" w14:textId="74889074" w:rsidR="006506BB" w:rsidRPr="007B7F10" w:rsidRDefault="006506BB" w:rsidP="008645B5">
          <w:pPr>
            <w:jc w:val="right"/>
            <w:rPr>
              <w:rFonts w:ascii="Calibri" w:eastAsia="Cambria" w:hAnsi="Calibri"/>
              <w:b/>
              <w:color w:val="696969" w:themeColor="text1" w:themeTint="A6"/>
            </w:rPr>
          </w:pPr>
          <w:r>
            <w:rPr>
              <w:noProof/>
              <w:lang w:eastAsia="en-US"/>
            </w:rPr>
            <w:pict w14:anchorId="53DD8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32.95pt;height:177.65pt;rotation:315;z-index:-251643904;mso-wrap-edited:f;mso-position-horizontal:center;mso-position-horizontal-relative:margin;mso-position-vertical:center;mso-position-vertical-relative:margin" wrapcoords="21508 4192 14339 4192 14308 4283 14278 11210 11908 4192 11240 4192 10389 9934 8749 5286 7989 3645 7777 4192 5255 4192 5225 8840 3949 5741 3189 4101 3037 4374 2339 4101 546 4192 486 4374 486 17225 637 17681 2703 17681 3220 17316 3675 16587 4101 15675 5377 17772 5498 17863 5954 17589 6015 17407 6015 13306 6258 12030 7139 14491 8718 18045 8901 17772 9630 17863 10055 17589 10146 17407 10511 14491 11027 13762 11635 13670 12637 16496 13458 18318 13670 17681 13883 17589 13913 17316 13640 15584 14308 17498 14794 18318 15007 17589 15037 13579 15129 11665 17134 11665 18501 15675 19625 18227 19807 17589 20020 17589 20111 5924 21630 5924 21660 4556 21508 4192" fillcolor="silver" stroked="f">
                <v:textpath style="font-family:&quot;Helvetica Neue&quot;;font-size:1pt" string="DRAFT"/>
                <w10:wrap anchorx="margin" anchory="margin"/>
              </v:shape>
            </w:pict>
          </w:r>
          <w:r w:rsidRPr="007B7F10">
            <w:rPr>
              <w:rFonts w:ascii="Calibri" w:hAnsi="Calibri"/>
              <w:b/>
              <w:color w:val="696969" w:themeColor="text1" w:themeTint="A6"/>
            </w:rPr>
            <w:fldChar w:fldCharType="begin"/>
          </w:r>
          <w:r w:rsidRPr="007B7F10">
            <w:rPr>
              <w:rFonts w:ascii="Calibri" w:hAnsi="Calibri"/>
              <w:b/>
              <w:color w:val="696969" w:themeColor="text1" w:themeTint="A6"/>
            </w:rPr>
            <w:instrText xml:space="preserve"> PAGE   \* MERGEFORMAT </w:instrText>
          </w:r>
          <w:r w:rsidRPr="007B7F10">
            <w:rPr>
              <w:rFonts w:ascii="Calibri" w:hAnsi="Calibri"/>
              <w:b/>
              <w:color w:val="696969" w:themeColor="text1" w:themeTint="A6"/>
            </w:rPr>
            <w:fldChar w:fldCharType="separate"/>
          </w:r>
          <w:r>
            <w:rPr>
              <w:rFonts w:ascii="Calibri" w:hAnsi="Calibri"/>
              <w:b/>
              <w:noProof/>
              <w:color w:val="696969" w:themeColor="text1" w:themeTint="A6"/>
            </w:rPr>
            <w:t>2</w:t>
          </w:r>
          <w:r w:rsidRPr="007B7F10">
            <w:rPr>
              <w:rFonts w:ascii="Calibri" w:hAnsi="Calibri"/>
              <w:b/>
              <w:color w:val="696969" w:themeColor="text1" w:themeTint="A6"/>
            </w:rPr>
            <w:fldChar w:fldCharType="end"/>
          </w:r>
        </w:p>
      </w:tc>
      <w:tc>
        <w:tcPr>
          <w:tcW w:w="4788" w:type="pct"/>
          <w:tcBorders>
            <w:left w:val="single" w:sz="4" w:space="0" w:color="BFBFBF"/>
            <w:bottom w:val="nil"/>
          </w:tcBorders>
        </w:tcPr>
        <w:p w14:paraId="3CC3014F" w14:textId="77777777" w:rsidR="006506BB" w:rsidRPr="0025191F" w:rsidRDefault="006506BB" w:rsidP="003244EB">
          <w:pPr>
            <w:rPr>
              <w:rFonts w:ascii="Calibri" w:eastAsia="Cambria" w:hAnsi="Calibri"/>
              <w:color w:val="696969" w:themeColor="text1" w:themeTint="A6"/>
            </w:rPr>
          </w:pPr>
          <w:sdt>
            <w:sdtPr>
              <w:rPr>
                <w:rFonts w:ascii="Calibri" w:hAnsi="Calibri"/>
                <w:b/>
                <w:bCs/>
                <w:caps/>
                <w:color w:val="696969" w:themeColor="text1" w:themeTint="A6"/>
              </w:rPr>
              <w:alias w:val="Title"/>
              <w:id w:val="122589096"/>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696969" w:themeColor="text1" w:themeTint="A6"/>
                </w:rPr>
                <w:t>Minnesota 2025 Energy Action Plan</w:t>
              </w:r>
            </w:sdtContent>
          </w:sdt>
        </w:p>
      </w:tc>
    </w:tr>
  </w:tbl>
  <w:p w14:paraId="0818240F" w14:textId="77777777" w:rsidR="006506BB" w:rsidRPr="00EE6153" w:rsidRDefault="006506BB" w:rsidP="003244EB">
    <w:pPr>
      <w:pStyle w:val="Header"/>
      <w:ind w:left="-720"/>
      <w:rPr>
        <w:caps/>
        <w:color w:val="696969" w:themeColor="text1" w:themeTint="A6"/>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50" w:type="pct"/>
      <w:tblBorders>
        <w:bottom w:val="single" w:sz="4" w:space="0" w:color="BFBFBF"/>
      </w:tblBorders>
      <w:tblCellMar>
        <w:left w:w="115" w:type="dxa"/>
        <w:right w:w="115" w:type="dxa"/>
      </w:tblCellMar>
      <w:tblLook w:val="04A0" w:firstRow="1" w:lastRow="0" w:firstColumn="1" w:lastColumn="0" w:noHBand="0" w:noVBand="1"/>
    </w:tblPr>
    <w:tblGrid>
      <w:gridCol w:w="10285"/>
      <w:gridCol w:w="541"/>
    </w:tblGrid>
    <w:tr w:rsidR="006506BB" w:rsidRPr="0025191F" w14:paraId="66C318E6" w14:textId="77777777" w:rsidTr="001F63F9">
      <w:tc>
        <w:tcPr>
          <w:tcW w:w="4750" w:type="pct"/>
          <w:tcBorders>
            <w:bottom w:val="nil"/>
            <w:right w:val="single" w:sz="4" w:space="0" w:color="BFBFBF"/>
          </w:tcBorders>
        </w:tcPr>
        <w:p w14:paraId="32FE0DA8" w14:textId="7D4E1D3E" w:rsidR="006506BB" w:rsidRPr="008645B5" w:rsidRDefault="006506BB" w:rsidP="008E0B95">
          <w:pPr>
            <w:ind w:right="-26"/>
            <w:jc w:val="right"/>
            <w:rPr>
              <w:rFonts w:ascii="Helvetica Neue Medium" w:eastAsia="Cambria" w:hAnsi="Helvetica Neue Medium"/>
              <w:color w:val="808080" w:themeColor="background2"/>
              <w:sz w:val="16"/>
              <w:szCs w:val="16"/>
            </w:rPr>
          </w:pPr>
          <w:r>
            <w:rPr>
              <w:noProof/>
              <w:lang w:eastAsia="en-US"/>
            </w:rPr>
            <w:pict w14:anchorId="263C95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532.95pt;height:177.65pt;rotation:315;z-index:-251645952;mso-wrap-edited:f;mso-position-horizontal:center;mso-position-horizontal-relative:margin;mso-position-vertical:center;mso-position-vertical-relative:margin" wrapcoords="21508 4192 14339 4192 14308 4283 14278 11210 11908 4192 11240 4192 10389 9934 8749 5286 7989 3645 7777 4192 5255 4192 5225 8840 3949 5741 3189 4101 3037 4374 2339 4101 546 4192 486 4374 486 17225 637 17681 2703 17681 3220 17316 3675 16587 4101 15675 5377 17772 5498 17863 5954 17589 6015 17407 6015 13306 6258 12030 7139 14491 8718 18045 8901 17772 9630 17863 10055 17589 10146 17407 10511 14491 11027 13762 11635 13670 12637 16496 13458 18318 13670 17681 13883 17589 13913 17316 13640 15584 14308 17498 14794 18318 15007 17589 15037 13579 15129 11665 17134 11665 18501 15675 19625 18227 19807 17589 20020 17589 20111 5924 21630 5924 21660 4556 21508 4192" fillcolor="silver" stroked="f">
                <v:textpath style="font-family:&quot;Helvetica Neue&quot;;font-size:1pt" string="DRAFT"/>
                <w10:wrap anchorx="margin" anchory="margin"/>
              </v:shape>
            </w:pict>
          </w:r>
          <w:sdt>
            <w:sdtPr>
              <w:rPr>
                <w:rFonts w:ascii="Helvetica Neue Medium" w:hAnsi="Helvetica Neue Medium"/>
                <w:bCs/>
                <w:caps/>
                <w:color w:val="808080" w:themeColor="background2"/>
                <w:sz w:val="16"/>
                <w:szCs w:val="16"/>
              </w:rPr>
              <w:alias w:val="Title"/>
              <w:id w:val="-2105956634"/>
              <w:dataBinding w:prefixMappings="xmlns:ns0='http://schemas.openxmlformats.org/package/2006/metadata/core-properties' xmlns:ns1='http://purl.org/dc/elements/1.1/'" w:xpath="/ns0:coreProperties[1]/ns1:title[1]" w:storeItemID="{6C3C8BC8-F283-45AE-878A-BAB7291924A1}"/>
              <w:text/>
            </w:sdtPr>
            <w:sdtContent>
              <w:r>
                <w:rPr>
                  <w:rFonts w:ascii="Helvetica Neue Medium" w:hAnsi="Helvetica Neue Medium"/>
                  <w:bCs/>
                  <w:caps/>
                  <w:color w:val="808080" w:themeColor="background2"/>
                  <w:sz w:val="16"/>
                  <w:szCs w:val="16"/>
                </w:rPr>
                <w:t>Minnesota 2025 Energy Action Plan</w:t>
              </w:r>
            </w:sdtContent>
          </w:sdt>
        </w:p>
      </w:tc>
      <w:tc>
        <w:tcPr>
          <w:tcW w:w="250" w:type="pct"/>
          <w:tcBorders>
            <w:left w:val="single" w:sz="4" w:space="0" w:color="BFBFBF"/>
            <w:bottom w:val="nil"/>
          </w:tcBorders>
        </w:tcPr>
        <w:p w14:paraId="575EB142" w14:textId="77777777" w:rsidR="006506BB" w:rsidRPr="008645B5" w:rsidRDefault="006506BB" w:rsidP="00987AC2">
          <w:pPr>
            <w:rPr>
              <w:rFonts w:ascii="Helvetica Neue Medium" w:eastAsia="Cambria" w:hAnsi="Helvetica Neue Medium"/>
              <w:color w:val="808080" w:themeColor="background2"/>
              <w:sz w:val="16"/>
              <w:szCs w:val="16"/>
            </w:rPr>
          </w:pPr>
          <w:r w:rsidRPr="008645B5">
            <w:rPr>
              <w:rFonts w:ascii="Helvetica Neue Medium" w:hAnsi="Helvetica Neue Medium"/>
              <w:color w:val="808080" w:themeColor="background2"/>
              <w:sz w:val="16"/>
              <w:szCs w:val="16"/>
            </w:rPr>
            <w:fldChar w:fldCharType="begin"/>
          </w:r>
          <w:r w:rsidRPr="008645B5">
            <w:rPr>
              <w:rFonts w:ascii="Helvetica Neue Medium" w:hAnsi="Helvetica Neue Medium"/>
              <w:color w:val="808080" w:themeColor="background2"/>
              <w:sz w:val="16"/>
              <w:szCs w:val="16"/>
            </w:rPr>
            <w:instrText xml:space="preserve"> PAGE   \* MERGEFORMAT </w:instrText>
          </w:r>
          <w:r w:rsidRPr="008645B5">
            <w:rPr>
              <w:rFonts w:ascii="Helvetica Neue Medium" w:hAnsi="Helvetica Neue Medium"/>
              <w:color w:val="808080" w:themeColor="background2"/>
              <w:sz w:val="16"/>
              <w:szCs w:val="16"/>
            </w:rPr>
            <w:fldChar w:fldCharType="separate"/>
          </w:r>
          <w:r w:rsidR="00492AC3">
            <w:rPr>
              <w:rFonts w:ascii="Helvetica Neue Medium" w:hAnsi="Helvetica Neue Medium"/>
              <w:noProof/>
              <w:color w:val="808080" w:themeColor="background2"/>
              <w:sz w:val="16"/>
              <w:szCs w:val="16"/>
            </w:rPr>
            <w:t>70</w:t>
          </w:r>
          <w:r w:rsidRPr="008645B5">
            <w:rPr>
              <w:rFonts w:ascii="Helvetica Neue Medium" w:hAnsi="Helvetica Neue Medium"/>
              <w:color w:val="808080" w:themeColor="background2"/>
              <w:sz w:val="16"/>
              <w:szCs w:val="16"/>
            </w:rPr>
            <w:fldChar w:fldCharType="end"/>
          </w:r>
        </w:p>
      </w:tc>
    </w:tr>
  </w:tbl>
  <w:p w14:paraId="659F2D48" w14:textId="77777777" w:rsidR="006506BB" w:rsidRDefault="006506B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81ED" w14:textId="31D5AF63" w:rsidR="006506BB" w:rsidRDefault="006506BB">
    <w:pPr>
      <w:pStyle w:val="Header"/>
    </w:pPr>
    <w:r>
      <w:rPr>
        <w:noProof/>
        <w:lang w:eastAsia="en-US"/>
      </w:rPr>
      <w:pict w14:anchorId="5BBB0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532.95pt;height:177.65pt;rotation:315;z-index:-251641856;mso-wrap-edited:f;mso-position-horizontal:center;mso-position-horizontal-relative:margin;mso-position-vertical:center;mso-position-vertical-relative:margin" wrapcoords="21508 4192 14339 4192 14308 4283 14278 11210 11908 4192 11240 4192 10389 9934 8749 5286 7989 3645 7777 4192 5255 4192 5225 8840 3949 5741 3189 4101 3037 4374 2339 4101 546 4192 486 4374 486 17225 637 17681 2703 17681 3220 17316 3675 16587 4101 15675 5377 17772 5498 17863 5954 17589 6015 17407 6015 13306 6258 12030 7139 14491 8718 18045 8901 17772 9630 17863 10055 17589 10146 17407 10511 14491 11027 13762 11635 13670 12637 16496 13458 18318 13670 17681 13883 17589 13913 17316 13640 15584 14308 17498 14794 18318 15007 17589 15037 13579 15129 11665 17134 11665 18501 15675 19625 18227 19807 17589 20020 17589 20111 5924 21630 5924 21660 4556 21508 4192" fillcolor="silver" stroked="f">
          <v:textpath style="font-family:&quot;Helvetica Neue&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 w:type="dxa"/>
      <w:tblBorders>
        <w:bottom w:val="single" w:sz="4" w:space="0" w:color="BFBFBF"/>
      </w:tblBorders>
      <w:tblCellMar>
        <w:left w:w="115" w:type="dxa"/>
        <w:right w:w="115" w:type="dxa"/>
      </w:tblCellMar>
      <w:tblLook w:val="04A0" w:firstRow="1" w:lastRow="0" w:firstColumn="1" w:lastColumn="0" w:noHBand="0" w:noVBand="1"/>
    </w:tblPr>
    <w:tblGrid>
      <w:gridCol w:w="437"/>
      <w:gridCol w:w="9873"/>
    </w:tblGrid>
    <w:tr w:rsidR="006506BB" w:rsidRPr="0025191F" w14:paraId="7032C696" w14:textId="77777777" w:rsidTr="003244EB">
      <w:tc>
        <w:tcPr>
          <w:tcW w:w="212" w:type="pct"/>
          <w:tcBorders>
            <w:bottom w:val="nil"/>
            <w:right w:val="single" w:sz="4" w:space="0" w:color="BFBFBF"/>
          </w:tcBorders>
        </w:tcPr>
        <w:p w14:paraId="109ACB25" w14:textId="48708F1E" w:rsidR="006506BB" w:rsidRPr="007B7F10" w:rsidRDefault="006506BB" w:rsidP="008645B5">
          <w:pPr>
            <w:jc w:val="right"/>
            <w:rPr>
              <w:rFonts w:ascii="Calibri" w:eastAsia="Cambria" w:hAnsi="Calibri"/>
              <w:b/>
              <w:color w:val="696969" w:themeColor="text1" w:themeTint="A6"/>
            </w:rPr>
          </w:pPr>
          <w:r>
            <w:rPr>
              <w:noProof/>
              <w:lang w:eastAsia="en-US"/>
            </w:rPr>
            <w:pict w14:anchorId="2AC7A7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3" type="#_x0000_t136" style="position:absolute;left:0;text-align:left;margin-left:0;margin-top:0;width:532.95pt;height:177.65pt;rotation:315;z-index:-251637760;mso-wrap-edited:f;mso-position-horizontal:center;mso-position-horizontal-relative:margin;mso-position-vertical:center;mso-position-vertical-relative:margin" wrapcoords="21508 4192 14339 4192 14308 4283 14278 11210 11908 4192 11240 4192 10389 9934 8749 5286 7989 3645 7777 4192 5255 4192 5225 8840 3949 5741 3189 4101 3037 4374 2339 4101 546 4192 486 4374 486 17225 637 17681 2703 17681 3220 17316 3675 16587 4101 15675 5377 17772 5498 17863 5954 17589 6015 17407 6015 13306 6258 12030 7139 14491 8718 18045 8901 17772 9630 17863 10055 17589 10146 17407 10511 14491 11027 13762 11635 13670 12637 16496 13458 18318 13670 17681 13883 17589 13913 17316 13640 15584 14308 17498 14794 18318 15007 17589 15037 13579 15129 11665 17134 11665 18501 15675 19625 18227 19807 17589 20020 17589 20111 5924 21630 5924 21660 4556 21508 4192" fillcolor="silver" stroked="f">
                <v:textpath style="font-family:&quot;Helvetica Neue&quot;;font-size:1pt" string="DRAFT"/>
                <w10:wrap anchorx="margin" anchory="margin"/>
              </v:shape>
            </w:pict>
          </w:r>
          <w:r w:rsidRPr="007B7F10">
            <w:rPr>
              <w:rFonts w:ascii="Calibri" w:hAnsi="Calibri"/>
              <w:b/>
              <w:color w:val="696969" w:themeColor="text1" w:themeTint="A6"/>
            </w:rPr>
            <w:fldChar w:fldCharType="begin"/>
          </w:r>
          <w:r w:rsidRPr="007B7F10">
            <w:rPr>
              <w:rFonts w:ascii="Calibri" w:hAnsi="Calibri"/>
              <w:b/>
              <w:color w:val="696969" w:themeColor="text1" w:themeTint="A6"/>
            </w:rPr>
            <w:instrText xml:space="preserve"> PAGE   \* MERGEFORMAT </w:instrText>
          </w:r>
          <w:r w:rsidRPr="007B7F10">
            <w:rPr>
              <w:rFonts w:ascii="Calibri" w:hAnsi="Calibri"/>
              <w:b/>
              <w:color w:val="696969" w:themeColor="text1" w:themeTint="A6"/>
            </w:rPr>
            <w:fldChar w:fldCharType="separate"/>
          </w:r>
          <w:r>
            <w:rPr>
              <w:rFonts w:ascii="Calibri" w:hAnsi="Calibri"/>
              <w:b/>
              <w:noProof/>
              <w:color w:val="696969" w:themeColor="text1" w:themeTint="A6"/>
            </w:rPr>
            <w:t>2</w:t>
          </w:r>
          <w:r w:rsidRPr="007B7F10">
            <w:rPr>
              <w:rFonts w:ascii="Calibri" w:hAnsi="Calibri"/>
              <w:b/>
              <w:color w:val="696969" w:themeColor="text1" w:themeTint="A6"/>
            </w:rPr>
            <w:fldChar w:fldCharType="end"/>
          </w:r>
        </w:p>
      </w:tc>
      <w:tc>
        <w:tcPr>
          <w:tcW w:w="4788" w:type="pct"/>
          <w:tcBorders>
            <w:left w:val="single" w:sz="4" w:space="0" w:color="BFBFBF"/>
            <w:bottom w:val="nil"/>
          </w:tcBorders>
        </w:tcPr>
        <w:p w14:paraId="1D701718" w14:textId="25C1B4A1" w:rsidR="006506BB" w:rsidRPr="0025191F" w:rsidRDefault="006506BB" w:rsidP="003244EB">
          <w:pPr>
            <w:rPr>
              <w:rFonts w:ascii="Calibri" w:eastAsia="Cambria" w:hAnsi="Calibri"/>
              <w:color w:val="696969" w:themeColor="text1" w:themeTint="A6"/>
            </w:rPr>
          </w:pPr>
          <w:sdt>
            <w:sdtPr>
              <w:rPr>
                <w:rFonts w:ascii="Calibri" w:hAnsi="Calibri"/>
                <w:b/>
                <w:bCs/>
                <w:caps/>
                <w:color w:val="696969" w:themeColor="text1" w:themeTint="A6"/>
              </w:rPr>
              <w:alias w:val="Title"/>
              <w:id w:val="-1817718441"/>
              <w:dataBinding w:prefixMappings="xmlns:ns0='http://schemas.openxmlformats.org/package/2006/metadata/core-properties' xmlns:ns1='http://purl.org/dc/elements/1.1/'" w:xpath="/ns0:coreProperties[1]/ns1:title[1]" w:storeItemID="{6C3C8BC8-F283-45AE-878A-BAB7291924A1}"/>
              <w:text/>
            </w:sdtPr>
            <w:sdtContent>
              <w:r>
                <w:rPr>
                  <w:rFonts w:ascii="Calibri" w:hAnsi="Calibri"/>
                  <w:b/>
                  <w:bCs/>
                  <w:caps/>
                  <w:color w:val="696969" w:themeColor="text1" w:themeTint="A6"/>
                </w:rPr>
                <w:t>Minnesota 2025 Energy Action Plan</w:t>
              </w:r>
            </w:sdtContent>
          </w:sdt>
        </w:p>
      </w:tc>
    </w:tr>
  </w:tbl>
  <w:p w14:paraId="66F964A5" w14:textId="77777777" w:rsidR="006506BB" w:rsidRPr="00EE6153" w:rsidRDefault="006506BB" w:rsidP="003244EB">
    <w:pPr>
      <w:pStyle w:val="Header"/>
      <w:ind w:left="-720"/>
      <w:rPr>
        <w:caps/>
        <w:color w:val="696969" w:themeColor="text1" w:themeTint="A6"/>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50" w:type="pct"/>
      <w:tblBorders>
        <w:bottom w:val="single" w:sz="4" w:space="0" w:color="BFBFBF"/>
      </w:tblBorders>
      <w:tblCellMar>
        <w:left w:w="115" w:type="dxa"/>
        <w:right w:w="115" w:type="dxa"/>
      </w:tblCellMar>
      <w:tblLook w:val="04A0" w:firstRow="1" w:lastRow="0" w:firstColumn="1" w:lastColumn="0" w:noHBand="0" w:noVBand="1"/>
    </w:tblPr>
    <w:tblGrid>
      <w:gridCol w:w="10329"/>
      <w:gridCol w:w="497"/>
    </w:tblGrid>
    <w:tr w:rsidR="006506BB" w:rsidRPr="0025191F" w14:paraId="47B1484C" w14:textId="77777777" w:rsidTr="008645B5">
      <w:tc>
        <w:tcPr>
          <w:tcW w:w="4792" w:type="pct"/>
          <w:tcBorders>
            <w:bottom w:val="nil"/>
            <w:right w:val="single" w:sz="4" w:space="0" w:color="BFBFBF"/>
          </w:tcBorders>
        </w:tcPr>
        <w:p w14:paraId="25E9B469" w14:textId="05DD33FC" w:rsidR="006506BB" w:rsidRPr="008645B5" w:rsidRDefault="006506BB" w:rsidP="008E0B95">
          <w:pPr>
            <w:ind w:right="-26"/>
            <w:jc w:val="right"/>
            <w:rPr>
              <w:rFonts w:ascii="Helvetica Neue Medium" w:eastAsia="Cambria" w:hAnsi="Helvetica Neue Medium"/>
              <w:color w:val="808080" w:themeColor="background2"/>
              <w:sz w:val="16"/>
              <w:szCs w:val="16"/>
            </w:rPr>
          </w:pPr>
          <w:r>
            <w:rPr>
              <w:noProof/>
              <w:lang w:eastAsia="en-US"/>
            </w:rPr>
            <w:pict w14:anchorId="4E1E92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2" type="#_x0000_t136" style="position:absolute;left:0;text-align:left;margin-left:0;margin-top:0;width:532.95pt;height:177.65pt;rotation:315;z-index:-251639808;mso-wrap-edited:f;mso-position-horizontal:center;mso-position-horizontal-relative:margin;mso-position-vertical:center;mso-position-vertical-relative:margin" wrapcoords="21508 4192 14339 4192 14308 4283 14278 11210 11908 4192 11240 4192 10389 9934 8749 5286 7989 3645 7777 4192 5255 4192 5225 8840 3949 5741 3189 4101 3037 4374 2339 4101 546 4192 486 4374 486 17225 637 17681 2703 17681 3220 17316 3675 16587 4101 15675 5377 17772 5498 17863 5954 17589 6015 17407 6015 13306 6258 12030 7139 14491 8718 18045 8901 17772 9630 17863 10055 17589 10146 17407 10511 14491 11027 13762 11635 13670 12637 16496 13458 18318 13670 17681 13883 17589 13913 17316 13640 15584 14308 17498 14794 18318 15007 17589 15037 13579 15129 11665 17134 11665 18501 15675 19625 18227 19807 17589 20020 17589 20111 5924 21630 5924 21660 4556 21508 4192" fillcolor="silver" stroked="f">
                <v:textpath style="font-family:&quot;Helvetica Neue&quot;;font-size:1pt" string="DRAFT"/>
                <w10:wrap anchorx="margin" anchory="margin"/>
              </v:shape>
            </w:pict>
          </w:r>
          <w:sdt>
            <w:sdtPr>
              <w:rPr>
                <w:rFonts w:ascii="Helvetica Neue Medium" w:hAnsi="Helvetica Neue Medium"/>
                <w:bCs/>
                <w:caps/>
                <w:color w:val="808080" w:themeColor="background2"/>
                <w:sz w:val="16"/>
                <w:szCs w:val="16"/>
              </w:rPr>
              <w:alias w:val="Title"/>
              <w:id w:val="1815065395"/>
              <w:dataBinding w:prefixMappings="xmlns:ns0='http://schemas.openxmlformats.org/package/2006/metadata/core-properties' xmlns:ns1='http://purl.org/dc/elements/1.1/'" w:xpath="/ns0:coreProperties[1]/ns1:title[1]" w:storeItemID="{6C3C8BC8-F283-45AE-878A-BAB7291924A1}"/>
              <w:text/>
            </w:sdtPr>
            <w:sdtContent>
              <w:r>
                <w:rPr>
                  <w:rFonts w:ascii="Helvetica Neue Medium" w:hAnsi="Helvetica Neue Medium"/>
                  <w:bCs/>
                  <w:caps/>
                  <w:color w:val="808080" w:themeColor="background2"/>
                  <w:sz w:val="16"/>
                  <w:szCs w:val="16"/>
                </w:rPr>
                <w:t>Minnesota 2025 Energy Action Plan</w:t>
              </w:r>
            </w:sdtContent>
          </w:sdt>
        </w:p>
      </w:tc>
      <w:tc>
        <w:tcPr>
          <w:tcW w:w="208" w:type="pct"/>
          <w:tcBorders>
            <w:left w:val="single" w:sz="4" w:space="0" w:color="BFBFBF"/>
            <w:bottom w:val="nil"/>
          </w:tcBorders>
        </w:tcPr>
        <w:p w14:paraId="11BAD605" w14:textId="77777777" w:rsidR="006506BB" w:rsidRPr="008645B5" w:rsidRDefault="006506BB" w:rsidP="00987AC2">
          <w:pPr>
            <w:rPr>
              <w:rFonts w:ascii="Helvetica Neue Medium" w:eastAsia="Cambria" w:hAnsi="Helvetica Neue Medium"/>
              <w:color w:val="808080" w:themeColor="background2"/>
              <w:sz w:val="16"/>
              <w:szCs w:val="16"/>
            </w:rPr>
          </w:pPr>
          <w:r w:rsidRPr="008645B5">
            <w:rPr>
              <w:rFonts w:ascii="Helvetica Neue Medium" w:hAnsi="Helvetica Neue Medium"/>
              <w:color w:val="808080" w:themeColor="background2"/>
              <w:sz w:val="16"/>
              <w:szCs w:val="16"/>
            </w:rPr>
            <w:fldChar w:fldCharType="begin"/>
          </w:r>
          <w:r w:rsidRPr="008645B5">
            <w:rPr>
              <w:rFonts w:ascii="Helvetica Neue Medium" w:hAnsi="Helvetica Neue Medium"/>
              <w:color w:val="808080" w:themeColor="background2"/>
              <w:sz w:val="16"/>
              <w:szCs w:val="16"/>
            </w:rPr>
            <w:instrText xml:space="preserve"> PAGE   \* MERGEFORMAT </w:instrText>
          </w:r>
          <w:r w:rsidRPr="008645B5">
            <w:rPr>
              <w:rFonts w:ascii="Helvetica Neue Medium" w:hAnsi="Helvetica Neue Medium"/>
              <w:color w:val="808080" w:themeColor="background2"/>
              <w:sz w:val="16"/>
              <w:szCs w:val="16"/>
            </w:rPr>
            <w:fldChar w:fldCharType="separate"/>
          </w:r>
          <w:r w:rsidR="00492AC3">
            <w:rPr>
              <w:rFonts w:ascii="Helvetica Neue Medium" w:hAnsi="Helvetica Neue Medium"/>
              <w:noProof/>
              <w:color w:val="808080" w:themeColor="background2"/>
              <w:sz w:val="16"/>
              <w:szCs w:val="16"/>
            </w:rPr>
            <w:t>165</w:t>
          </w:r>
          <w:r w:rsidRPr="008645B5">
            <w:rPr>
              <w:rFonts w:ascii="Helvetica Neue Medium" w:hAnsi="Helvetica Neue Medium"/>
              <w:color w:val="808080" w:themeColor="background2"/>
              <w:sz w:val="16"/>
              <w:szCs w:val="16"/>
            </w:rPr>
            <w:fldChar w:fldCharType="end"/>
          </w:r>
        </w:p>
      </w:tc>
    </w:tr>
  </w:tbl>
  <w:p w14:paraId="772F5436" w14:textId="77777777" w:rsidR="006506BB" w:rsidRDefault="006506B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E15D" w14:textId="4FB74382" w:rsidR="006506BB" w:rsidRDefault="006506BB">
    <w:pPr>
      <w:pStyle w:val="Header"/>
    </w:pPr>
    <w:r>
      <w:rPr>
        <w:noProof/>
        <w:lang w:eastAsia="en-US"/>
      </w:rPr>
      <w:pict w14:anchorId="3F5C37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4" type="#_x0000_t136" style="position:absolute;margin-left:0;margin-top:0;width:532.95pt;height:177.65pt;rotation:315;z-index:-251635712;mso-wrap-edited:f;mso-position-horizontal:center;mso-position-horizontal-relative:margin;mso-position-vertical:center;mso-position-vertical-relative:margin" wrapcoords="21508 4192 14339 4192 14308 4283 14278 11210 11908 4192 11240 4192 10389 9934 8749 5286 7989 3645 7777 4192 5255 4192 5225 8840 3949 5741 3189 4101 3037 4374 2339 4101 546 4192 486 4374 486 17225 637 17681 2703 17681 3220 17316 3675 16587 4101 15675 5377 17772 5498 17863 5954 17589 6015 17407 6015 13306 6258 12030 7139 14491 8718 18045 8901 17772 9630 17863 10055 17589 10146 17407 10511 14491 11027 13762 11635 13670 12637 16496 13458 18318 13670 17681 13883 17589 13913 17316 13640 15584 14308 17498 14794 18318 15007 17589 15037 13579 15129 11665 17134 11665 18501 15675 19625 18227 19807 17589 20020 17589 20111 5924 21630 5924 21660 4556 21508 4192" fillcolor="silver" stroked="f">
          <v:textpath style="font-family:&quot;Helvetica Neue&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A24"/>
    <w:multiLevelType w:val="hybridMultilevel"/>
    <w:tmpl w:val="4CCA6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173DC"/>
    <w:multiLevelType w:val="hybridMultilevel"/>
    <w:tmpl w:val="EC0C34F0"/>
    <w:lvl w:ilvl="0" w:tplc="58FACD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27594"/>
    <w:multiLevelType w:val="hybridMultilevel"/>
    <w:tmpl w:val="F9DE5BD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924DE9"/>
    <w:multiLevelType w:val="hybridMultilevel"/>
    <w:tmpl w:val="06E26D3C"/>
    <w:lvl w:ilvl="0" w:tplc="1E24D15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DB1BA6"/>
    <w:multiLevelType w:val="hybridMultilevel"/>
    <w:tmpl w:val="D1A6871C"/>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EB7743"/>
    <w:multiLevelType w:val="multilevel"/>
    <w:tmpl w:val="4EE630E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6">
    <w:nsid w:val="04143045"/>
    <w:multiLevelType w:val="hybridMultilevel"/>
    <w:tmpl w:val="19FA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C23F24"/>
    <w:multiLevelType w:val="hybridMultilevel"/>
    <w:tmpl w:val="08446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6656B7"/>
    <w:multiLevelType w:val="hybridMultilevel"/>
    <w:tmpl w:val="EA52EBD8"/>
    <w:lvl w:ilvl="0" w:tplc="51A4717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A11535"/>
    <w:multiLevelType w:val="hybridMultilevel"/>
    <w:tmpl w:val="8B18BA40"/>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C85CEC"/>
    <w:multiLevelType w:val="hybridMultilevel"/>
    <w:tmpl w:val="D5F81C02"/>
    <w:lvl w:ilvl="0" w:tplc="D8362C5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734EE6"/>
    <w:multiLevelType w:val="multilevel"/>
    <w:tmpl w:val="E85E12C2"/>
    <w:styleLink w:val="Actionlist"/>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8B54A15"/>
    <w:multiLevelType w:val="hybridMultilevel"/>
    <w:tmpl w:val="AECA1018"/>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79119D"/>
    <w:multiLevelType w:val="hybridMultilevel"/>
    <w:tmpl w:val="3CACF228"/>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E374C8"/>
    <w:multiLevelType w:val="hybridMultilevel"/>
    <w:tmpl w:val="EBA26D3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D3010D"/>
    <w:multiLevelType w:val="hybridMultilevel"/>
    <w:tmpl w:val="43B83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B957201"/>
    <w:multiLevelType w:val="hybridMultilevel"/>
    <w:tmpl w:val="95E60E66"/>
    <w:lvl w:ilvl="0" w:tplc="0409000F">
      <w:start w:val="1"/>
      <w:numFmt w:val="decimal"/>
      <w:lvlText w:val="%1."/>
      <w:lvlJc w:val="left"/>
      <w:pPr>
        <w:ind w:left="720" w:hanging="360"/>
      </w:pPr>
    </w:lvl>
    <w:lvl w:ilvl="1" w:tplc="4A6C6F16">
      <w:numFmt w:val="bullet"/>
      <w:lvlText w:val="-"/>
      <w:lvlJc w:val="left"/>
      <w:pPr>
        <w:ind w:left="1440" w:hanging="360"/>
      </w:pPr>
      <w:rPr>
        <w:rFonts w:ascii="Helvetica Neue" w:eastAsiaTheme="minorEastAsia" w:hAnsi="Helvetica Neue" w:cstheme="minorBidi" w:hint="default"/>
        <w:b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583BF0"/>
    <w:multiLevelType w:val="hybridMultilevel"/>
    <w:tmpl w:val="4B62693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682879"/>
    <w:multiLevelType w:val="hybridMultilevel"/>
    <w:tmpl w:val="CE5636EC"/>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C7D4639"/>
    <w:multiLevelType w:val="hybridMultilevel"/>
    <w:tmpl w:val="76180F64"/>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232789"/>
    <w:multiLevelType w:val="hybridMultilevel"/>
    <w:tmpl w:val="CC5A43C8"/>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DFA581B"/>
    <w:multiLevelType w:val="hybridMultilevel"/>
    <w:tmpl w:val="7A28E328"/>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E021012"/>
    <w:multiLevelType w:val="hybridMultilevel"/>
    <w:tmpl w:val="6ADAC564"/>
    <w:lvl w:ilvl="0" w:tplc="35AEB6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E6A19BB"/>
    <w:multiLevelType w:val="hybridMultilevel"/>
    <w:tmpl w:val="83E6B7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E714607"/>
    <w:multiLevelType w:val="hybridMultilevel"/>
    <w:tmpl w:val="7E5033A2"/>
    <w:lvl w:ilvl="0" w:tplc="51A4717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EA877EA"/>
    <w:multiLevelType w:val="hybridMultilevel"/>
    <w:tmpl w:val="1CF8D59A"/>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2091C44"/>
    <w:multiLevelType w:val="hybridMultilevel"/>
    <w:tmpl w:val="5D5C1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3C47AB7"/>
    <w:multiLevelType w:val="hybridMultilevel"/>
    <w:tmpl w:val="3EAA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6D64C5D"/>
    <w:multiLevelType w:val="hybridMultilevel"/>
    <w:tmpl w:val="23DE6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7717465"/>
    <w:multiLevelType w:val="hybridMultilevel"/>
    <w:tmpl w:val="30849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A96799"/>
    <w:multiLevelType w:val="hybridMultilevel"/>
    <w:tmpl w:val="384C318C"/>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7AC62C5"/>
    <w:multiLevelType w:val="hybridMultilevel"/>
    <w:tmpl w:val="CF6CF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84E2626"/>
    <w:multiLevelType w:val="hybridMultilevel"/>
    <w:tmpl w:val="73B0B05E"/>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8D54D93"/>
    <w:multiLevelType w:val="hybridMultilevel"/>
    <w:tmpl w:val="4BE612F2"/>
    <w:lvl w:ilvl="0" w:tplc="A124744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93947ED"/>
    <w:multiLevelType w:val="hybridMultilevel"/>
    <w:tmpl w:val="0FF69514"/>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C71A30"/>
    <w:multiLevelType w:val="hybridMultilevel"/>
    <w:tmpl w:val="92820A32"/>
    <w:lvl w:ilvl="0" w:tplc="04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7376E6"/>
    <w:multiLevelType w:val="hybridMultilevel"/>
    <w:tmpl w:val="6A6C183C"/>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A8F170F"/>
    <w:multiLevelType w:val="hybridMultilevel"/>
    <w:tmpl w:val="A53676A4"/>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AE57CED"/>
    <w:multiLevelType w:val="hybridMultilevel"/>
    <w:tmpl w:val="AA9CC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BA420A0"/>
    <w:multiLevelType w:val="hybridMultilevel"/>
    <w:tmpl w:val="935A799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BE9751A"/>
    <w:multiLevelType w:val="hybridMultilevel"/>
    <w:tmpl w:val="5E463F5A"/>
    <w:lvl w:ilvl="0" w:tplc="1E24D15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79089D"/>
    <w:multiLevelType w:val="hybridMultilevel"/>
    <w:tmpl w:val="E35A9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CA239BD"/>
    <w:multiLevelType w:val="hybridMultilevel"/>
    <w:tmpl w:val="06E26D3C"/>
    <w:lvl w:ilvl="0" w:tplc="1E24D15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E8E5ED4"/>
    <w:multiLevelType w:val="hybridMultilevel"/>
    <w:tmpl w:val="76424C2A"/>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5F2775"/>
    <w:multiLevelType w:val="hybridMultilevel"/>
    <w:tmpl w:val="F62A2A14"/>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08D66EB"/>
    <w:multiLevelType w:val="hybridMultilevel"/>
    <w:tmpl w:val="190647AE"/>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1032C25"/>
    <w:multiLevelType w:val="hybridMultilevel"/>
    <w:tmpl w:val="5FC6C124"/>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11B3916"/>
    <w:multiLevelType w:val="hybridMultilevel"/>
    <w:tmpl w:val="7B6A0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27E7CFD"/>
    <w:multiLevelType w:val="hybridMultilevel"/>
    <w:tmpl w:val="7DEE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3D42E11"/>
    <w:multiLevelType w:val="hybridMultilevel"/>
    <w:tmpl w:val="1E6C814E"/>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1209AE"/>
    <w:multiLevelType w:val="hybridMultilevel"/>
    <w:tmpl w:val="106EB45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537747D"/>
    <w:multiLevelType w:val="hybridMultilevel"/>
    <w:tmpl w:val="66A66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6FF31BC"/>
    <w:multiLevelType w:val="hybridMultilevel"/>
    <w:tmpl w:val="4CA0E5A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89B72CA"/>
    <w:multiLevelType w:val="hybridMultilevel"/>
    <w:tmpl w:val="16FAC618"/>
    <w:lvl w:ilvl="0" w:tplc="325406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8A03C7F"/>
    <w:multiLevelType w:val="hybridMultilevel"/>
    <w:tmpl w:val="26B428BC"/>
    <w:lvl w:ilvl="0" w:tplc="4260B94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9334FE4"/>
    <w:multiLevelType w:val="hybridMultilevel"/>
    <w:tmpl w:val="39C6BFD2"/>
    <w:lvl w:ilvl="0" w:tplc="1E24D15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9DD4139"/>
    <w:multiLevelType w:val="hybridMultilevel"/>
    <w:tmpl w:val="A766A2FE"/>
    <w:lvl w:ilvl="0" w:tplc="5CD4867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B4520D3"/>
    <w:multiLevelType w:val="hybridMultilevel"/>
    <w:tmpl w:val="EA74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BC67E3C"/>
    <w:multiLevelType w:val="hybridMultilevel"/>
    <w:tmpl w:val="0A5E3C34"/>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C96446E"/>
    <w:multiLevelType w:val="hybridMultilevel"/>
    <w:tmpl w:val="09344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D362597"/>
    <w:multiLevelType w:val="hybridMultilevel"/>
    <w:tmpl w:val="85EC4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DBD6F56"/>
    <w:multiLevelType w:val="hybridMultilevel"/>
    <w:tmpl w:val="FB5A2F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EC20EBD"/>
    <w:multiLevelType w:val="hybridMultilevel"/>
    <w:tmpl w:val="8D660F66"/>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F3F44FB"/>
    <w:multiLevelType w:val="hybridMultilevel"/>
    <w:tmpl w:val="445E2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03A6A2C"/>
    <w:multiLevelType w:val="hybridMultilevel"/>
    <w:tmpl w:val="C9D8F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0420B99"/>
    <w:multiLevelType w:val="hybridMultilevel"/>
    <w:tmpl w:val="2766BE80"/>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12A64F7"/>
    <w:multiLevelType w:val="hybridMultilevel"/>
    <w:tmpl w:val="2BACB33A"/>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17B6AF7"/>
    <w:multiLevelType w:val="hybridMultilevel"/>
    <w:tmpl w:val="96409A36"/>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1873DEB"/>
    <w:multiLevelType w:val="hybridMultilevel"/>
    <w:tmpl w:val="F748167E"/>
    <w:lvl w:ilvl="0" w:tplc="2488D0B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510DD4"/>
    <w:multiLevelType w:val="hybridMultilevel"/>
    <w:tmpl w:val="70D4F6B2"/>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B04936"/>
    <w:multiLevelType w:val="hybridMultilevel"/>
    <w:tmpl w:val="BAF4B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3D8307C"/>
    <w:multiLevelType w:val="hybridMultilevel"/>
    <w:tmpl w:val="A7445896"/>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4653A43"/>
    <w:multiLevelType w:val="hybridMultilevel"/>
    <w:tmpl w:val="A67ED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4B25C67"/>
    <w:multiLevelType w:val="hybridMultilevel"/>
    <w:tmpl w:val="6906A262"/>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6245252"/>
    <w:multiLevelType w:val="hybridMultilevel"/>
    <w:tmpl w:val="7256D3A8"/>
    <w:lvl w:ilvl="0" w:tplc="526A42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77A117A"/>
    <w:multiLevelType w:val="hybridMultilevel"/>
    <w:tmpl w:val="5F3857CC"/>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7D46F8A"/>
    <w:multiLevelType w:val="hybridMultilevel"/>
    <w:tmpl w:val="63A2B526"/>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7E51159"/>
    <w:multiLevelType w:val="hybridMultilevel"/>
    <w:tmpl w:val="8268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86959DC"/>
    <w:multiLevelType w:val="hybridMultilevel"/>
    <w:tmpl w:val="0F7C805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9095C4D"/>
    <w:multiLevelType w:val="hybridMultilevel"/>
    <w:tmpl w:val="7E70206E"/>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A911F1D"/>
    <w:multiLevelType w:val="hybridMultilevel"/>
    <w:tmpl w:val="80E41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D0A59C9"/>
    <w:multiLevelType w:val="hybridMultilevel"/>
    <w:tmpl w:val="9726294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DAC281B"/>
    <w:multiLevelType w:val="hybridMultilevel"/>
    <w:tmpl w:val="D4DC77CC"/>
    <w:lvl w:ilvl="0" w:tplc="5A8AD262">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E046E9E"/>
    <w:multiLevelType w:val="hybridMultilevel"/>
    <w:tmpl w:val="CD84F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E6E46F0"/>
    <w:multiLevelType w:val="hybridMultilevel"/>
    <w:tmpl w:val="7A5EDEF8"/>
    <w:lvl w:ilvl="0" w:tplc="394449C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E9B0B0E"/>
    <w:multiLevelType w:val="hybridMultilevel"/>
    <w:tmpl w:val="8F42664C"/>
    <w:lvl w:ilvl="0" w:tplc="1E24D15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08B54E2"/>
    <w:multiLevelType w:val="hybridMultilevel"/>
    <w:tmpl w:val="4CDC2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142546E"/>
    <w:multiLevelType w:val="hybridMultilevel"/>
    <w:tmpl w:val="B48AC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1CD2521"/>
    <w:multiLevelType w:val="hybridMultilevel"/>
    <w:tmpl w:val="1864F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27550DA"/>
    <w:multiLevelType w:val="hybridMultilevel"/>
    <w:tmpl w:val="DF185E22"/>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2E223B2"/>
    <w:multiLevelType w:val="hybridMultilevel"/>
    <w:tmpl w:val="368A9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53C5A99"/>
    <w:multiLevelType w:val="hybridMultilevel"/>
    <w:tmpl w:val="CE704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5477284"/>
    <w:multiLevelType w:val="hybridMultilevel"/>
    <w:tmpl w:val="3B76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6D806CC"/>
    <w:multiLevelType w:val="hybridMultilevel"/>
    <w:tmpl w:val="E5082B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74C65EB"/>
    <w:multiLevelType w:val="hybridMultilevel"/>
    <w:tmpl w:val="51E2C076"/>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7CA5B7A"/>
    <w:multiLevelType w:val="hybridMultilevel"/>
    <w:tmpl w:val="3A923F70"/>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8883CBF"/>
    <w:multiLevelType w:val="hybridMultilevel"/>
    <w:tmpl w:val="92D43D66"/>
    <w:lvl w:ilvl="0" w:tplc="CC405A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8E37483"/>
    <w:multiLevelType w:val="hybridMultilevel"/>
    <w:tmpl w:val="32D22218"/>
    <w:lvl w:ilvl="0" w:tplc="66F05D6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8F76702"/>
    <w:multiLevelType w:val="hybridMultilevel"/>
    <w:tmpl w:val="15DAB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92B2F24"/>
    <w:multiLevelType w:val="hybridMultilevel"/>
    <w:tmpl w:val="57E66C2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A9D2A2B"/>
    <w:multiLevelType w:val="hybridMultilevel"/>
    <w:tmpl w:val="D94E3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B3D2EC4"/>
    <w:multiLevelType w:val="hybridMultilevel"/>
    <w:tmpl w:val="B1547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B7F7AA4"/>
    <w:multiLevelType w:val="hybridMultilevel"/>
    <w:tmpl w:val="5E0C4564"/>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CCF6AF5"/>
    <w:multiLevelType w:val="hybridMultilevel"/>
    <w:tmpl w:val="B8A2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F426105"/>
    <w:multiLevelType w:val="hybridMultilevel"/>
    <w:tmpl w:val="12D4C6A0"/>
    <w:lvl w:ilvl="0" w:tplc="3D64A6FA">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F466A85"/>
    <w:multiLevelType w:val="hybridMultilevel"/>
    <w:tmpl w:val="7AB04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F4970ED"/>
    <w:multiLevelType w:val="hybridMultilevel"/>
    <w:tmpl w:val="017AFE06"/>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F595D3E"/>
    <w:multiLevelType w:val="hybridMultilevel"/>
    <w:tmpl w:val="2DD6F202"/>
    <w:lvl w:ilvl="0" w:tplc="FA60F6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2920230"/>
    <w:multiLevelType w:val="hybridMultilevel"/>
    <w:tmpl w:val="D94E3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37B5934"/>
    <w:multiLevelType w:val="hybridMultilevel"/>
    <w:tmpl w:val="EFE24B76"/>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433012D"/>
    <w:multiLevelType w:val="hybridMultilevel"/>
    <w:tmpl w:val="7D90648C"/>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4BB4582"/>
    <w:multiLevelType w:val="hybridMultilevel"/>
    <w:tmpl w:val="93C42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6BE037A"/>
    <w:multiLevelType w:val="hybridMultilevel"/>
    <w:tmpl w:val="36222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9073D7E"/>
    <w:multiLevelType w:val="hybridMultilevel"/>
    <w:tmpl w:val="95E60E66"/>
    <w:lvl w:ilvl="0" w:tplc="0409000F">
      <w:start w:val="1"/>
      <w:numFmt w:val="decimal"/>
      <w:lvlText w:val="%1."/>
      <w:lvlJc w:val="left"/>
      <w:pPr>
        <w:ind w:left="720" w:hanging="360"/>
      </w:pPr>
    </w:lvl>
    <w:lvl w:ilvl="1" w:tplc="4A6C6F16">
      <w:numFmt w:val="bullet"/>
      <w:lvlText w:val="-"/>
      <w:lvlJc w:val="left"/>
      <w:pPr>
        <w:ind w:left="1440" w:hanging="360"/>
      </w:pPr>
      <w:rPr>
        <w:rFonts w:ascii="Helvetica Neue" w:eastAsiaTheme="minorEastAsia" w:hAnsi="Helvetica Neue" w:cstheme="minorBidi" w:hint="default"/>
        <w:b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94A2320"/>
    <w:multiLevelType w:val="hybridMultilevel"/>
    <w:tmpl w:val="51F0C80C"/>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9527693"/>
    <w:multiLevelType w:val="hybridMultilevel"/>
    <w:tmpl w:val="6408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9D465A6"/>
    <w:multiLevelType w:val="hybridMultilevel"/>
    <w:tmpl w:val="B3DC807A"/>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A3744BB"/>
    <w:multiLevelType w:val="hybridMultilevel"/>
    <w:tmpl w:val="0AF4A29A"/>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A48362F"/>
    <w:multiLevelType w:val="hybridMultilevel"/>
    <w:tmpl w:val="E00CAEC8"/>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CD17CDD"/>
    <w:multiLevelType w:val="hybridMultilevel"/>
    <w:tmpl w:val="DC92816A"/>
    <w:lvl w:ilvl="0" w:tplc="28C45C9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CE17EE7"/>
    <w:multiLevelType w:val="hybridMultilevel"/>
    <w:tmpl w:val="D318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D2C3677"/>
    <w:multiLevelType w:val="hybridMultilevel"/>
    <w:tmpl w:val="7E645658"/>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D9558EF"/>
    <w:multiLevelType w:val="hybridMultilevel"/>
    <w:tmpl w:val="04F0B5AA"/>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F4E775C"/>
    <w:multiLevelType w:val="hybridMultilevel"/>
    <w:tmpl w:val="B7860D8C"/>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F593318"/>
    <w:multiLevelType w:val="hybridMultilevel"/>
    <w:tmpl w:val="9EF4A3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F755669"/>
    <w:multiLevelType w:val="hybridMultilevel"/>
    <w:tmpl w:val="5D5C1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76756B"/>
    <w:multiLevelType w:val="hybridMultilevel"/>
    <w:tmpl w:val="DCD8DB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13A468C"/>
    <w:multiLevelType w:val="hybridMultilevel"/>
    <w:tmpl w:val="6DE8E328"/>
    <w:lvl w:ilvl="0" w:tplc="51A4717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2650223"/>
    <w:multiLevelType w:val="hybridMultilevel"/>
    <w:tmpl w:val="3B720274"/>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38E14BB"/>
    <w:multiLevelType w:val="hybridMultilevel"/>
    <w:tmpl w:val="D698190A"/>
    <w:lvl w:ilvl="0" w:tplc="164EF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3EC0F67"/>
    <w:multiLevelType w:val="hybridMultilevel"/>
    <w:tmpl w:val="4F669290"/>
    <w:lvl w:ilvl="0" w:tplc="51A47176">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42648B5"/>
    <w:multiLevelType w:val="hybridMultilevel"/>
    <w:tmpl w:val="27CE86DE"/>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44575D9"/>
    <w:multiLevelType w:val="hybridMultilevel"/>
    <w:tmpl w:val="D284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4BE0A9D"/>
    <w:multiLevelType w:val="hybridMultilevel"/>
    <w:tmpl w:val="DC02D7E0"/>
    <w:lvl w:ilvl="0" w:tplc="3BF81B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51517F4"/>
    <w:multiLevelType w:val="hybridMultilevel"/>
    <w:tmpl w:val="4B70673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5B945C3"/>
    <w:multiLevelType w:val="hybridMultilevel"/>
    <w:tmpl w:val="E842CB88"/>
    <w:lvl w:ilvl="0" w:tplc="CCD4747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6581233"/>
    <w:multiLevelType w:val="hybridMultilevel"/>
    <w:tmpl w:val="A036D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9AF299D"/>
    <w:multiLevelType w:val="hybridMultilevel"/>
    <w:tmpl w:val="288AA90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A994E05"/>
    <w:multiLevelType w:val="hybridMultilevel"/>
    <w:tmpl w:val="1764CAF4"/>
    <w:lvl w:ilvl="0" w:tplc="6F685D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C8D2951"/>
    <w:multiLevelType w:val="hybridMultilevel"/>
    <w:tmpl w:val="6608D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E62646F"/>
    <w:multiLevelType w:val="hybridMultilevel"/>
    <w:tmpl w:val="7B5E5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E8A67C0"/>
    <w:multiLevelType w:val="hybridMultilevel"/>
    <w:tmpl w:val="E0327F28"/>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E94696E"/>
    <w:multiLevelType w:val="hybridMultilevel"/>
    <w:tmpl w:val="C2C81F8C"/>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E9A5029"/>
    <w:multiLevelType w:val="multilevel"/>
    <w:tmpl w:val="0409001D"/>
    <w:styleLink w:val="E2025actionlist"/>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4">
    <w:nsid w:val="6FDC245F"/>
    <w:multiLevelType w:val="hybridMultilevel"/>
    <w:tmpl w:val="0F208272"/>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0485414"/>
    <w:multiLevelType w:val="hybridMultilevel"/>
    <w:tmpl w:val="957E6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15B7847"/>
    <w:multiLevelType w:val="hybridMultilevel"/>
    <w:tmpl w:val="3558C4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31A0A5D"/>
    <w:multiLevelType w:val="hybridMultilevel"/>
    <w:tmpl w:val="7A84A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3414814"/>
    <w:multiLevelType w:val="hybridMultilevel"/>
    <w:tmpl w:val="EF6A638C"/>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3901D5B"/>
    <w:multiLevelType w:val="hybridMultilevel"/>
    <w:tmpl w:val="E004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3C21CBD"/>
    <w:multiLevelType w:val="hybridMultilevel"/>
    <w:tmpl w:val="5AFAA804"/>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4B0544E"/>
    <w:multiLevelType w:val="hybridMultilevel"/>
    <w:tmpl w:val="E75A2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4BE7CBF"/>
    <w:multiLevelType w:val="hybridMultilevel"/>
    <w:tmpl w:val="1EEC9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4E53608"/>
    <w:multiLevelType w:val="hybridMultilevel"/>
    <w:tmpl w:val="1E725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4F51938"/>
    <w:multiLevelType w:val="hybridMultilevel"/>
    <w:tmpl w:val="5A5AA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5081341"/>
    <w:multiLevelType w:val="hybridMultilevel"/>
    <w:tmpl w:val="9F02B6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5AD3EF2"/>
    <w:multiLevelType w:val="hybridMultilevel"/>
    <w:tmpl w:val="0FDCE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61008F7"/>
    <w:multiLevelType w:val="hybridMultilevel"/>
    <w:tmpl w:val="18E0D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7A00444"/>
    <w:multiLevelType w:val="hybridMultilevel"/>
    <w:tmpl w:val="9C224CAA"/>
    <w:lvl w:ilvl="0" w:tplc="164EF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82A3310"/>
    <w:multiLevelType w:val="hybridMultilevel"/>
    <w:tmpl w:val="42C4C108"/>
    <w:lvl w:ilvl="0" w:tplc="1E24D15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930031A"/>
    <w:multiLevelType w:val="hybridMultilevel"/>
    <w:tmpl w:val="9C46C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AE90C30"/>
    <w:multiLevelType w:val="hybridMultilevel"/>
    <w:tmpl w:val="9B98B066"/>
    <w:lvl w:ilvl="0" w:tplc="DBE4364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B3D21D4"/>
    <w:multiLevelType w:val="hybridMultilevel"/>
    <w:tmpl w:val="D3225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BBC3189"/>
    <w:multiLevelType w:val="hybridMultilevel"/>
    <w:tmpl w:val="E02CA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C88361E"/>
    <w:multiLevelType w:val="hybridMultilevel"/>
    <w:tmpl w:val="B7942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DDE004C"/>
    <w:multiLevelType w:val="hybridMultilevel"/>
    <w:tmpl w:val="85EC4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7EE443C0"/>
    <w:multiLevelType w:val="hybridMultilevel"/>
    <w:tmpl w:val="CFDCE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F860881"/>
    <w:multiLevelType w:val="hybridMultilevel"/>
    <w:tmpl w:val="F28EB848"/>
    <w:lvl w:ilvl="0" w:tplc="12EC481C">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56"/>
  </w:num>
  <w:num w:numId="3">
    <w:abstractNumId w:val="48"/>
  </w:num>
  <w:num w:numId="4">
    <w:abstractNumId w:val="140"/>
  </w:num>
  <w:num w:numId="5">
    <w:abstractNumId w:val="63"/>
  </w:num>
  <w:num w:numId="6">
    <w:abstractNumId w:val="57"/>
  </w:num>
  <w:num w:numId="7">
    <w:abstractNumId w:val="15"/>
  </w:num>
  <w:num w:numId="8">
    <w:abstractNumId w:val="115"/>
  </w:num>
  <w:num w:numId="9">
    <w:abstractNumId w:val="6"/>
  </w:num>
  <w:num w:numId="10">
    <w:abstractNumId w:val="7"/>
  </w:num>
  <w:num w:numId="11">
    <w:abstractNumId w:val="51"/>
  </w:num>
  <w:num w:numId="12">
    <w:abstractNumId w:val="0"/>
  </w:num>
  <w:num w:numId="13">
    <w:abstractNumId w:val="103"/>
  </w:num>
  <w:num w:numId="14">
    <w:abstractNumId w:val="77"/>
  </w:num>
  <w:num w:numId="15">
    <w:abstractNumId w:val="47"/>
  </w:num>
  <w:num w:numId="16">
    <w:abstractNumId w:val="149"/>
  </w:num>
  <w:num w:numId="17">
    <w:abstractNumId w:val="153"/>
  </w:num>
  <w:num w:numId="18">
    <w:abstractNumId w:val="105"/>
  </w:num>
  <w:num w:numId="19">
    <w:abstractNumId w:val="151"/>
  </w:num>
  <w:num w:numId="20">
    <w:abstractNumId w:val="70"/>
  </w:num>
  <w:num w:numId="21">
    <w:abstractNumId w:val="101"/>
  </w:num>
  <w:num w:numId="22">
    <w:abstractNumId w:val="11"/>
  </w:num>
  <w:num w:numId="23">
    <w:abstractNumId w:val="143"/>
  </w:num>
  <w:num w:numId="24">
    <w:abstractNumId w:val="163"/>
  </w:num>
  <w:num w:numId="25">
    <w:abstractNumId w:val="124"/>
  </w:num>
  <w:num w:numId="26">
    <w:abstractNumId w:val="93"/>
  </w:num>
  <w:num w:numId="27">
    <w:abstractNumId w:val="100"/>
  </w:num>
  <w:num w:numId="28">
    <w:abstractNumId w:val="108"/>
  </w:num>
  <w:num w:numId="29">
    <w:abstractNumId w:val="87"/>
  </w:num>
  <w:num w:numId="30">
    <w:abstractNumId w:val="166"/>
  </w:num>
  <w:num w:numId="31">
    <w:abstractNumId w:val="86"/>
  </w:num>
  <w:num w:numId="32">
    <w:abstractNumId w:val="112"/>
  </w:num>
  <w:num w:numId="33">
    <w:abstractNumId w:val="41"/>
  </w:num>
  <w:num w:numId="34">
    <w:abstractNumId w:val="26"/>
  </w:num>
  <w:num w:numId="35">
    <w:abstractNumId w:val="125"/>
  </w:num>
  <w:num w:numId="36">
    <w:abstractNumId w:val="157"/>
  </w:num>
  <w:num w:numId="37">
    <w:abstractNumId w:val="80"/>
  </w:num>
  <w:num w:numId="38">
    <w:abstractNumId w:val="29"/>
  </w:num>
  <w:num w:numId="39">
    <w:abstractNumId w:val="147"/>
  </w:num>
  <w:num w:numId="40">
    <w:abstractNumId w:val="162"/>
  </w:num>
  <w:num w:numId="41">
    <w:abstractNumId w:val="98"/>
  </w:num>
  <w:num w:numId="42">
    <w:abstractNumId w:val="155"/>
  </w:num>
  <w:num w:numId="43">
    <w:abstractNumId w:val="164"/>
  </w:num>
  <w:num w:numId="44">
    <w:abstractNumId w:val="59"/>
  </w:num>
  <w:num w:numId="45">
    <w:abstractNumId w:val="10"/>
  </w:num>
  <w:num w:numId="46">
    <w:abstractNumId w:val="23"/>
  </w:num>
  <w:num w:numId="47">
    <w:abstractNumId w:val="38"/>
  </w:num>
  <w:num w:numId="48">
    <w:abstractNumId w:val="136"/>
  </w:num>
  <w:num w:numId="49">
    <w:abstractNumId w:val="64"/>
  </w:num>
  <w:num w:numId="50">
    <w:abstractNumId w:val="61"/>
  </w:num>
  <w:num w:numId="51">
    <w:abstractNumId w:val="88"/>
  </w:num>
  <w:num w:numId="52">
    <w:abstractNumId w:val="145"/>
  </w:num>
  <w:num w:numId="53">
    <w:abstractNumId w:val="90"/>
  </w:num>
  <w:num w:numId="54">
    <w:abstractNumId w:val="120"/>
  </w:num>
  <w:num w:numId="55">
    <w:abstractNumId w:val="132"/>
  </w:num>
  <w:num w:numId="56">
    <w:abstractNumId w:val="111"/>
  </w:num>
  <w:num w:numId="57">
    <w:abstractNumId w:val="31"/>
  </w:num>
  <w:num w:numId="58">
    <w:abstractNumId w:val="83"/>
  </w:num>
  <w:num w:numId="59">
    <w:abstractNumId w:val="160"/>
  </w:num>
  <w:num w:numId="60">
    <w:abstractNumId w:val="28"/>
  </w:num>
  <w:num w:numId="61">
    <w:abstractNumId w:val="25"/>
  </w:num>
  <w:num w:numId="62">
    <w:abstractNumId w:val="32"/>
  </w:num>
  <w:num w:numId="63">
    <w:abstractNumId w:val="114"/>
  </w:num>
  <w:num w:numId="64">
    <w:abstractNumId w:val="19"/>
  </w:num>
  <w:num w:numId="65">
    <w:abstractNumId w:val="44"/>
  </w:num>
  <w:num w:numId="66">
    <w:abstractNumId w:val="109"/>
  </w:num>
  <w:num w:numId="67">
    <w:abstractNumId w:val="144"/>
  </w:num>
  <w:num w:numId="68">
    <w:abstractNumId w:val="34"/>
  </w:num>
  <w:num w:numId="69">
    <w:abstractNumId w:val="94"/>
  </w:num>
  <w:num w:numId="70">
    <w:abstractNumId w:val="95"/>
  </w:num>
  <w:num w:numId="71">
    <w:abstractNumId w:val="106"/>
  </w:num>
  <w:num w:numId="72">
    <w:abstractNumId w:val="129"/>
  </w:num>
  <w:num w:numId="73">
    <w:abstractNumId w:val="134"/>
  </w:num>
  <w:num w:numId="74">
    <w:abstractNumId w:val="65"/>
  </w:num>
  <w:num w:numId="75">
    <w:abstractNumId w:val="110"/>
  </w:num>
  <w:num w:numId="76">
    <w:abstractNumId w:val="148"/>
  </w:num>
  <w:num w:numId="77">
    <w:abstractNumId w:val="71"/>
  </w:num>
  <w:num w:numId="78">
    <w:abstractNumId w:val="118"/>
  </w:num>
  <w:num w:numId="79">
    <w:abstractNumId w:val="122"/>
  </w:num>
  <w:num w:numId="80">
    <w:abstractNumId w:val="137"/>
  </w:num>
  <w:num w:numId="81">
    <w:abstractNumId w:val="50"/>
  </w:num>
  <w:num w:numId="82">
    <w:abstractNumId w:val="49"/>
  </w:num>
  <w:num w:numId="83">
    <w:abstractNumId w:val="121"/>
  </w:num>
  <w:num w:numId="84">
    <w:abstractNumId w:val="16"/>
  </w:num>
  <w:num w:numId="85">
    <w:abstractNumId w:val="1"/>
  </w:num>
  <w:num w:numId="86">
    <w:abstractNumId w:val="24"/>
  </w:num>
  <w:num w:numId="87">
    <w:abstractNumId w:val="127"/>
  </w:num>
  <w:num w:numId="88">
    <w:abstractNumId w:val="130"/>
  </w:num>
  <w:num w:numId="89">
    <w:abstractNumId w:val="8"/>
  </w:num>
  <w:num w:numId="90">
    <w:abstractNumId w:val="104"/>
  </w:num>
  <w:num w:numId="91">
    <w:abstractNumId w:val="82"/>
  </w:num>
  <w:num w:numId="92">
    <w:abstractNumId w:val="46"/>
  </w:num>
  <w:num w:numId="93">
    <w:abstractNumId w:val="131"/>
  </w:num>
  <w:num w:numId="94">
    <w:abstractNumId w:val="81"/>
  </w:num>
  <w:num w:numId="95">
    <w:abstractNumId w:val="102"/>
  </w:num>
  <w:num w:numId="96">
    <w:abstractNumId w:val="33"/>
  </w:num>
  <w:num w:numId="97">
    <w:abstractNumId w:val="119"/>
  </w:num>
  <w:num w:numId="98">
    <w:abstractNumId w:val="99"/>
  </w:num>
  <w:num w:numId="99">
    <w:abstractNumId w:val="43"/>
  </w:num>
  <w:num w:numId="100">
    <w:abstractNumId w:val="53"/>
  </w:num>
  <w:num w:numId="101">
    <w:abstractNumId w:val="96"/>
  </w:num>
  <w:num w:numId="102">
    <w:abstractNumId w:val="84"/>
  </w:num>
  <w:num w:numId="103">
    <w:abstractNumId w:val="74"/>
  </w:num>
  <w:num w:numId="104">
    <w:abstractNumId w:val="45"/>
  </w:num>
  <w:num w:numId="105">
    <w:abstractNumId w:val="36"/>
  </w:num>
  <w:num w:numId="106">
    <w:abstractNumId w:val="39"/>
  </w:num>
  <w:num w:numId="107">
    <w:abstractNumId w:val="58"/>
  </w:num>
  <w:num w:numId="108">
    <w:abstractNumId w:val="135"/>
  </w:num>
  <w:num w:numId="109">
    <w:abstractNumId w:val="150"/>
  </w:num>
  <w:num w:numId="110">
    <w:abstractNumId w:val="12"/>
  </w:num>
  <w:num w:numId="111">
    <w:abstractNumId w:val="116"/>
  </w:num>
  <w:num w:numId="112">
    <w:abstractNumId w:val="117"/>
  </w:num>
  <w:num w:numId="113">
    <w:abstractNumId w:val="97"/>
  </w:num>
  <w:num w:numId="114">
    <w:abstractNumId w:val="66"/>
  </w:num>
  <w:num w:numId="115">
    <w:abstractNumId w:val="52"/>
  </w:num>
  <w:num w:numId="116">
    <w:abstractNumId w:val="79"/>
  </w:num>
  <w:num w:numId="117">
    <w:abstractNumId w:val="56"/>
  </w:num>
  <w:num w:numId="118">
    <w:abstractNumId w:val="17"/>
  </w:num>
  <w:num w:numId="119">
    <w:abstractNumId w:val="13"/>
  </w:num>
  <w:num w:numId="120">
    <w:abstractNumId w:val="54"/>
  </w:num>
  <w:num w:numId="121">
    <w:abstractNumId w:val="128"/>
  </w:num>
  <w:num w:numId="122">
    <w:abstractNumId w:val="158"/>
  </w:num>
  <w:num w:numId="123">
    <w:abstractNumId w:val="76"/>
  </w:num>
  <w:num w:numId="124">
    <w:abstractNumId w:val="107"/>
  </w:num>
  <w:num w:numId="125">
    <w:abstractNumId w:val="78"/>
  </w:num>
  <w:num w:numId="126">
    <w:abstractNumId w:val="22"/>
  </w:num>
  <w:num w:numId="127">
    <w:abstractNumId w:val="21"/>
  </w:num>
  <w:num w:numId="128">
    <w:abstractNumId w:val="68"/>
  </w:num>
  <w:num w:numId="129">
    <w:abstractNumId w:val="138"/>
  </w:num>
  <w:num w:numId="130">
    <w:abstractNumId w:val="167"/>
  </w:num>
  <w:num w:numId="131">
    <w:abstractNumId w:val="14"/>
  </w:num>
  <w:num w:numId="132">
    <w:abstractNumId w:val="161"/>
  </w:num>
  <w:num w:numId="133">
    <w:abstractNumId w:val="2"/>
  </w:num>
  <w:num w:numId="134">
    <w:abstractNumId w:val="133"/>
  </w:num>
  <w:num w:numId="135">
    <w:abstractNumId w:val="18"/>
  </w:num>
  <w:num w:numId="136">
    <w:abstractNumId w:val="4"/>
  </w:num>
  <w:num w:numId="137">
    <w:abstractNumId w:val="91"/>
  </w:num>
  <w:num w:numId="138">
    <w:abstractNumId w:val="92"/>
  </w:num>
  <w:num w:numId="139">
    <w:abstractNumId w:val="152"/>
  </w:num>
  <w:num w:numId="140">
    <w:abstractNumId w:val="139"/>
  </w:num>
  <w:num w:numId="141">
    <w:abstractNumId w:val="30"/>
  </w:num>
  <w:num w:numId="142">
    <w:abstractNumId w:val="142"/>
  </w:num>
  <w:num w:numId="143">
    <w:abstractNumId w:val="67"/>
  </w:num>
  <w:num w:numId="144">
    <w:abstractNumId w:val="159"/>
  </w:num>
  <w:num w:numId="145">
    <w:abstractNumId w:val="85"/>
  </w:num>
  <w:num w:numId="146">
    <w:abstractNumId w:val="73"/>
  </w:num>
  <w:num w:numId="147">
    <w:abstractNumId w:val="20"/>
  </w:num>
  <w:num w:numId="148">
    <w:abstractNumId w:val="141"/>
  </w:num>
  <w:num w:numId="149">
    <w:abstractNumId w:val="37"/>
  </w:num>
  <w:num w:numId="150">
    <w:abstractNumId w:val="89"/>
  </w:num>
  <w:num w:numId="151">
    <w:abstractNumId w:val="123"/>
  </w:num>
  <w:num w:numId="152">
    <w:abstractNumId w:val="62"/>
  </w:num>
  <w:num w:numId="153">
    <w:abstractNumId w:val="3"/>
  </w:num>
  <w:num w:numId="154">
    <w:abstractNumId w:val="42"/>
  </w:num>
  <w:num w:numId="155">
    <w:abstractNumId w:val="69"/>
  </w:num>
  <w:num w:numId="156">
    <w:abstractNumId w:val="75"/>
  </w:num>
  <w:num w:numId="157">
    <w:abstractNumId w:val="9"/>
  </w:num>
  <w:num w:numId="158">
    <w:abstractNumId w:val="55"/>
  </w:num>
  <w:num w:numId="159">
    <w:abstractNumId w:val="40"/>
  </w:num>
  <w:num w:numId="160">
    <w:abstractNumId w:val="35"/>
  </w:num>
  <w:num w:numId="161">
    <w:abstractNumId w:val="113"/>
  </w:num>
  <w:num w:numId="162">
    <w:abstractNumId w:val="72"/>
  </w:num>
  <w:num w:numId="163">
    <w:abstractNumId w:val="165"/>
  </w:num>
  <w:num w:numId="164">
    <w:abstractNumId w:val="60"/>
  </w:num>
  <w:num w:numId="165">
    <w:abstractNumId w:val="5"/>
  </w:num>
  <w:num w:numId="166">
    <w:abstractNumId w:val="126"/>
  </w:num>
  <w:num w:numId="167">
    <w:abstractNumId w:val="154"/>
  </w:num>
  <w:num w:numId="168">
    <w:abstractNumId w:val="146"/>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5"/>
    <o:shapelayout v:ext="edit">
      <o:idmap v:ext="edit" data="2"/>
    </o:shapelayout>
  </w:hdrShapeDefaults>
  <w:footnotePr>
    <w:footnote w:id="-1"/>
    <w:footnote w:id="0"/>
  </w:footnotePr>
  <w:endnotePr>
    <w:pos w:val="sectEnd"/>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27C"/>
    <w:rsid w:val="00002503"/>
    <w:rsid w:val="000030AF"/>
    <w:rsid w:val="000034E1"/>
    <w:rsid w:val="00004C56"/>
    <w:rsid w:val="00006F19"/>
    <w:rsid w:val="00015788"/>
    <w:rsid w:val="000158EE"/>
    <w:rsid w:val="00031797"/>
    <w:rsid w:val="00036003"/>
    <w:rsid w:val="000402B5"/>
    <w:rsid w:val="0004295D"/>
    <w:rsid w:val="00044CDC"/>
    <w:rsid w:val="0005056C"/>
    <w:rsid w:val="00051513"/>
    <w:rsid w:val="000552D9"/>
    <w:rsid w:val="000559D5"/>
    <w:rsid w:val="00056D64"/>
    <w:rsid w:val="000612F6"/>
    <w:rsid w:val="000627E0"/>
    <w:rsid w:val="00070F01"/>
    <w:rsid w:val="00082937"/>
    <w:rsid w:val="000873D9"/>
    <w:rsid w:val="00087ED1"/>
    <w:rsid w:val="000915A9"/>
    <w:rsid w:val="00091DCA"/>
    <w:rsid w:val="0009215A"/>
    <w:rsid w:val="000A0551"/>
    <w:rsid w:val="000A46E5"/>
    <w:rsid w:val="000A657E"/>
    <w:rsid w:val="000B1D88"/>
    <w:rsid w:val="000B2511"/>
    <w:rsid w:val="000B746F"/>
    <w:rsid w:val="000C3D05"/>
    <w:rsid w:val="000D3CE6"/>
    <w:rsid w:val="000D5510"/>
    <w:rsid w:val="000E016B"/>
    <w:rsid w:val="000E680A"/>
    <w:rsid w:val="0010025D"/>
    <w:rsid w:val="00100FA0"/>
    <w:rsid w:val="001015AA"/>
    <w:rsid w:val="0010334E"/>
    <w:rsid w:val="00104816"/>
    <w:rsid w:val="00113AE1"/>
    <w:rsid w:val="00114FD5"/>
    <w:rsid w:val="00117565"/>
    <w:rsid w:val="00117636"/>
    <w:rsid w:val="00122D2A"/>
    <w:rsid w:val="00124CC8"/>
    <w:rsid w:val="00125E05"/>
    <w:rsid w:val="00137269"/>
    <w:rsid w:val="00137661"/>
    <w:rsid w:val="00146D86"/>
    <w:rsid w:val="00157CD3"/>
    <w:rsid w:val="00160AB4"/>
    <w:rsid w:val="00162D19"/>
    <w:rsid w:val="0016323E"/>
    <w:rsid w:val="00163B35"/>
    <w:rsid w:val="00164A5A"/>
    <w:rsid w:val="00170671"/>
    <w:rsid w:val="00171E58"/>
    <w:rsid w:val="00172401"/>
    <w:rsid w:val="00172DC8"/>
    <w:rsid w:val="00175F28"/>
    <w:rsid w:val="0018016D"/>
    <w:rsid w:val="0018021A"/>
    <w:rsid w:val="00184FF4"/>
    <w:rsid w:val="00194D14"/>
    <w:rsid w:val="00197B6F"/>
    <w:rsid w:val="001A3679"/>
    <w:rsid w:val="001A595B"/>
    <w:rsid w:val="001A63CA"/>
    <w:rsid w:val="001C0744"/>
    <w:rsid w:val="001C531E"/>
    <w:rsid w:val="001C57F3"/>
    <w:rsid w:val="001D1907"/>
    <w:rsid w:val="001D2187"/>
    <w:rsid w:val="001D23E0"/>
    <w:rsid w:val="001D4EE6"/>
    <w:rsid w:val="001D7211"/>
    <w:rsid w:val="001E35F5"/>
    <w:rsid w:val="001E41D9"/>
    <w:rsid w:val="001F4CB3"/>
    <w:rsid w:val="001F5207"/>
    <w:rsid w:val="001F63F9"/>
    <w:rsid w:val="002003AC"/>
    <w:rsid w:val="00200610"/>
    <w:rsid w:val="00206EC9"/>
    <w:rsid w:val="00207AAB"/>
    <w:rsid w:val="00207D40"/>
    <w:rsid w:val="00211102"/>
    <w:rsid w:val="0021157D"/>
    <w:rsid w:val="00212C2E"/>
    <w:rsid w:val="00214DE5"/>
    <w:rsid w:val="00215143"/>
    <w:rsid w:val="002175DB"/>
    <w:rsid w:val="00224824"/>
    <w:rsid w:val="002248DE"/>
    <w:rsid w:val="00225A2C"/>
    <w:rsid w:val="00230F6A"/>
    <w:rsid w:val="00231B57"/>
    <w:rsid w:val="00232614"/>
    <w:rsid w:val="00232F9B"/>
    <w:rsid w:val="00234372"/>
    <w:rsid w:val="00234507"/>
    <w:rsid w:val="00234576"/>
    <w:rsid w:val="0023664B"/>
    <w:rsid w:val="00237C65"/>
    <w:rsid w:val="00240BB6"/>
    <w:rsid w:val="002422F5"/>
    <w:rsid w:val="002449EB"/>
    <w:rsid w:val="00251EFD"/>
    <w:rsid w:val="0025444A"/>
    <w:rsid w:val="002579C0"/>
    <w:rsid w:val="00270202"/>
    <w:rsid w:val="002725E5"/>
    <w:rsid w:val="00275965"/>
    <w:rsid w:val="00286BDE"/>
    <w:rsid w:val="00290CB6"/>
    <w:rsid w:val="002A1AEF"/>
    <w:rsid w:val="002A52F5"/>
    <w:rsid w:val="002A7A7F"/>
    <w:rsid w:val="002B7A72"/>
    <w:rsid w:val="002C4F46"/>
    <w:rsid w:val="002C7A50"/>
    <w:rsid w:val="002D29A7"/>
    <w:rsid w:val="002D5E30"/>
    <w:rsid w:val="002E51F9"/>
    <w:rsid w:val="002E720D"/>
    <w:rsid w:val="002F1E06"/>
    <w:rsid w:val="002F3629"/>
    <w:rsid w:val="002F5596"/>
    <w:rsid w:val="00302A7B"/>
    <w:rsid w:val="00313EE8"/>
    <w:rsid w:val="00317E43"/>
    <w:rsid w:val="00322F44"/>
    <w:rsid w:val="003244EB"/>
    <w:rsid w:val="00325C1B"/>
    <w:rsid w:val="0033241E"/>
    <w:rsid w:val="0033284F"/>
    <w:rsid w:val="003333D6"/>
    <w:rsid w:val="0034042F"/>
    <w:rsid w:val="00340A03"/>
    <w:rsid w:val="00352BD1"/>
    <w:rsid w:val="0035355A"/>
    <w:rsid w:val="003540D4"/>
    <w:rsid w:val="00355B27"/>
    <w:rsid w:val="00357F26"/>
    <w:rsid w:val="00363AFD"/>
    <w:rsid w:val="00366799"/>
    <w:rsid w:val="00366985"/>
    <w:rsid w:val="003706B9"/>
    <w:rsid w:val="00371DB4"/>
    <w:rsid w:val="00371E84"/>
    <w:rsid w:val="00380519"/>
    <w:rsid w:val="00383FF2"/>
    <w:rsid w:val="0039437A"/>
    <w:rsid w:val="0039721D"/>
    <w:rsid w:val="003A1415"/>
    <w:rsid w:val="003A5295"/>
    <w:rsid w:val="003A5F56"/>
    <w:rsid w:val="003A675F"/>
    <w:rsid w:val="003B5B3A"/>
    <w:rsid w:val="003C00B0"/>
    <w:rsid w:val="003C0256"/>
    <w:rsid w:val="003C301E"/>
    <w:rsid w:val="003D2DAC"/>
    <w:rsid w:val="003D39E2"/>
    <w:rsid w:val="003D402C"/>
    <w:rsid w:val="003D522E"/>
    <w:rsid w:val="003E2AA9"/>
    <w:rsid w:val="003E7D5A"/>
    <w:rsid w:val="003F31EB"/>
    <w:rsid w:val="003F5610"/>
    <w:rsid w:val="003F5815"/>
    <w:rsid w:val="003F711F"/>
    <w:rsid w:val="003F7848"/>
    <w:rsid w:val="00400DF3"/>
    <w:rsid w:val="00402A97"/>
    <w:rsid w:val="004113BC"/>
    <w:rsid w:val="004136BB"/>
    <w:rsid w:val="00413782"/>
    <w:rsid w:val="004143BA"/>
    <w:rsid w:val="00420CA3"/>
    <w:rsid w:val="00422C93"/>
    <w:rsid w:val="004308E1"/>
    <w:rsid w:val="004311D4"/>
    <w:rsid w:val="0043382E"/>
    <w:rsid w:val="00436940"/>
    <w:rsid w:val="00436C20"/>
    <w:rsid w:val="00445148"/>
    <w:rsid w:val="00447099"/>
    <w:rsid w:val="0045579E"/>
    <w:rsid w:val="0045748A"/>
    <w:rsid w:val="00457AB0"/>
    <w:rsid w:val="00461FE2"/>
    <w:rsid w:val="00463B7B"/>
    <w:rsid w:val="00464999"/>
    <w:rsid w:val="00472883"/>
    <w:rsid w:val="00475D49"/>
    <w:rsid w:val="004805EE"/>
    <w:rsid w:val="004875DD"/>
    <w:rsid w:val="0049055A"/>
    <w:rsid w:val="0049099F"/>
    <w:rsid w:val="00492AC3"/>
    <w:rsid w:val="00497704"/>
    <w:rsid w:val="004A0C0B"/>
    <w:rsid w:val="004A3422"/>
    <w:rsid w:val="004A44B9"/>
    <w:rsid w:val="004B09A3"/>
    <w:rsid w:val="004B21A6"/>
    <w:rsid w:val="004B2A63"/>
    <w:rsid w:val="004B4698"/>
    <w:rsid w:val="004C2690"/>
    <w:rsid w:val="004C45CB"/>
    <w:rsid w:val="004E0F22"/>
    <w:rsid w:val="004E19EE"/>
    <w:rsid w:val="004F6D8A"/>
    <w:rsid w:val="005037CB"/>
    <w:rsid w:val="00511BEC"/>
    <w:rsid w:val="00512C6B"/>
    <w:rsid w:val="00513B72"/>
    <w:rsid w:val="00532F18"/>
    <w:rsid w:val="0053594C"/>
    <w:rsid w:val="00537216"/>
    <w:rsid w:val="00544439"/>
    <w:rsid w:val="005466D1"/>
    <w:rsid w:val="00547FA5"/>
    <w:rsid w:val="00553A1C"/>
    <w:rsid w:val="00556437"/>
    <w:rsid w:val="00557AFA"/>
    <w:rsid w:val="00560DDB"/>
    <w:rsid w:val="0056169F"/>
    <w:rsid w:val="0056250D"/>
    <w:rsid w:val="00564DC9"/>
    <w:rsid w:val="005757EE"/>
    <w:rsid w:val="0058091F"/>
    <w:rsid w:val="005815C0"/>
    <w:rsid w:val="0058228D"/>
    <w:rsid w:val="005925F4"/>
    <w:rsid w:val="00595F7B"/>
    <w:rsid w:val="00597F33"/>
    <w:rsid w:val="005A78AF"/>
    <w:rsid w:val="005B00E3"/>
    <w:rsid w:val="005C0C67"/>
    <w:rsid w:val="005C49B1"/>
    <w:rsid w:val="005C4F4F"/>
    <w:rsid w:val="005C68C7"/>
    <w:rsid w:val="005C7F4D"/>
    <w:rsid w:val="005D0F23"/>
    <w:rsid w:val="005D185D"/>
    <w:rsid w:val="005D1971"/>
    <w:rsid w:val="005D414E"/>
    <w:rsid w:val="005D4341"/>
    <w:rsid w:val="005E1BD3"/>
    <w:rsid w:val="005E1C9A"/>
    <w:rsid w:val="005E6B0D"/>
    <w:rsid w:val="005E6EE8"/>
    <w:rsid w:val="005E7180"/>
    <w:rsid w:val="005F3093"/>
    <w:rsid w:val="005F5705"/>
    <w:rsid w:val="00604040"/>
    <w:rsid w:val="006114AB"/>
    <w:rsid w:val="00615E96"/>
    <w:rsid w:val="00617548"/>
    <w:rsid w:val="00623AE7"/>
    <w:rsid w:val="006254FF"/>
    <w:rsid w:val="00627DFC"/>
    <w:rsid w:val="00633C82"/>
    <w:rsid w:val="00634F1C"/>
    <w:rsid w:val="00640B0F"/>
    <w:rsid w:val="006449E1"/>
    <w:rsid w:val="00645311"/>
    <w:rsid w:val="00645823"/>
    <w:rsid w:val="00645E89"/>
    <w:rsid w:val="006506BB"/>
    <w:rsid w:val="00653762"/>
    <w:rsid w:val="00653D77"/>
    <w:rsid w:val="00656663"/>
    <w:rsid w:val="00656FFD"/>
    <w:rsid w:val="006614B4"/>
    <w:rsid w:val="00663C1D"/>
    <w:rsid w:val="006640EB"/>
    <w:rsid w:val="00667BEE"/>
    <w:rsid w:val="00675724"/>
    <w:rsid w:val="00675FD2"/>
    <w:rsid w:val="00682A4B"/>
    <w:rsid w:val="006A2560"/>
    <w:rsid w:val="006A3C5B"/>
    <w:rsid w:val="006A49B2"/>
    <w:rsid w:val="006A63A3"/>
    <w:rsid w:val="006B5088"/>
    <w:rsid w:val="006B6377"/>
    <w:rsid w:val="006C4752"/>
    <w:rsid w:val="006D2060"/>
    <w:rsid w:val="006D2538"/>
    <w:rsid w:val="006D5772"/>
    <w:rsid w:val="006D6CF7"/>
    <w:rsid w:val="006E52B1"/>
    <w:rsid w:val="006F1867"/>
    <w:rsid w:val="006F5330"/>
    <w:rsid w:val="006F5A02"/>
    <w:rsid w:val="00705908"/>
    <w:rsid w:val="00705DB5"/>
    <w:rsid w:val="00705F28"/>
    <w:rsid w:val="0070618E"/>
    <w:rsid w:val="0070659F"/>
    <w:rsid w:val="00710ECC"/>
    <w:rsid w:val="0071447C"/>
    <w:rsid w:val="00717191"/>
    <w:rsid w:val="00721411"/>
    <w:rsid w:val="00725676"/>
    <w:rsid w:val="00726677"/>
    <w:rsid w:val="00730B0C"/>
    <w:rsid w:val="0073227D"/>
    <w:rsid w:val="00734553"/>
    <w:rsid w:val="0073750B"/>
    <w:rsid w:val="00737EC5"/>
    <w:rsid w:val="00744212"/>
    <w:rsid w:val="00747052"/>
    <w:rsid w:val="0075374D"/>
    <w:rsid w:val="00762F2B"/>
    <w:rsid w:val="00773A4A"/>
    <w:rsid w:val="00780A51"/>
    <w:rsid w:val="0078655C"/>
    <w:rsid w:val="00786C39"/>
    <w:rsid w:val="00790CBF"/>
    <w:rsid w:val="00795CAC"/>
    <w:rsid w:val="007966F3"/>
    <w:rsid w:val="007A44D5"/>
    <w:rsid w:val="007A45A8"/>
    <w:rsid w:val="007B3169"/>
    <w:rsid w:val="007C2FA5"/>
    <w:rsid w:val="007D2B79"/>
    <w:rsid w:val="007D352C"/>
    <w:rsid w:val="007E417D"/>
    <w:rsid w:val="007E4C68"/>
    <w:rsid w:val="007F0A2E"/>
    <w:rsid w:val="007F3F44"/>
    <w:rsid w:val="007F6DF7"/>
    <w:rsid w:val="008074F0"/>
    <w:rsid w:val="00811985"/>
    <w:rsid w:val="008123C7"/>
    <w:rsid w:val="008155D7"/>
    <w:rsid w:val="00815CEE"/>
    <w:rsid w:val="00817124"/>
    <w:rsid w:val="00822623"/>
    <w:rsid w:val="008279E6"/>
    <w:rsid w:val="00840FDF"/>
    <w:rsid w:val="00850748"/>
    <w:rsid w:val="00856307"/>
    <w:rsid w:val="008569C6"/>
    <w:rsid w:val="008645B5"/>
    <w:rsid w:val="00864B55"/>
    <w:rsid w:val="00870588"/>
    <w:rsid w:val="00872AFA"/>
    <w:rsid w:val="00874B15"/>
    <w:rsid w:val="00875F55"/>
    <w:rsid w:val="008816E2"/>
    <w:rsid w:val="00882025"/>
    <w:rsid w:val="00892435"/>
    <w:rsid w:val="00895FF7"/>
    <w:rsid w:val="008A090E"/>
    <w:rsid w:val="008A6787"/>
    <w:rsid w:val="008B107F"/>
    <w:rsid w:val="008B37D9"/>
    <w:rsid w:val="008B39AC"/>
    <w:rsid w:val="008B4241"/>
    <w:rsid w:val="008B7556"/>
    <w:rsid w:val="008B7D8A"/>
    <w:rsid w:val="008C6773"/>
    <w:rsid w:val="008D3F5E"/>
    <w:rsid w:val="008D404C"/>
    <w:rsid w:val="008D51B1"/>
    <w:rsid w:val="008D7274"/>
    <w:rsid w:val="008E0B95"/>
    <w:rsid w:val="008E71AB"/>
    <w:rsid w:val="008F2677"/>
    <w:rsid w:val="008F2F98"/>
    <w:rsid w:val="009010C4"/>
    <w:rsid w:val="00901889"/>
    <w:rsid w:val="00902FDA"/>
    <w:rsid w:val="009071C3"/>
    <w:rsid w:val="0090792F"/>
    <w:rsid w:val="0091695A"/>
    <w:rsid w:val="00920BAB"/>
    <w:rsid w:val="00920E43"/>
    <w:rsid w:val="00924B88"/>
    <w:rsid w:val="00934BF8"/>
    <w:rsid w:val="00940D09"/>
    <w:rsid w:val="009427B5"/>
    <w:rsid w:val="009435A8"/>
    <w:rsid w:val="0094448A"/>
    <w:rsid w:val="00952D12"/>
    <w:rsid w:val="00953517"/>
    <w:rsid w:val="0095400D"/>
    <w:rsid w:val="00955D91"/>
    <w:rsid w:val="00955F99"/>
    <w:rsid w:val="00965551"/>
    <w:rsid w:val="009659BD"/>
    <w:rsid w:val="00973556"/>
    <w:rsid w:val="0097772E"/>
    <w:rsid w:val="009828C5"/>
    <w:rsid w:val="00987AC2"/>
    <w:rsid w:val="009937C8"/>
    <w:rsid w:val="009A1695"/>
    <w:rsid w:val="009A2C75"/>
    <w:rsid w:val="009A3593"/>
    <w:rsid w:val="009A4334"/>
    <w:rsid w:val="009A78DB"/>
    <w:rsid w:val="009B0DDD"/>
    <w:rsid w:val="009B52C1"/>
    <w:rsid w:val="009C3E0B"/>
    <w:rsid w:val="009C432B"/>
    <w:rsid w:val="009C49BD"/>
    <w:rsid w:val="009C4A2F"/>
    <w:rsid w:val="009C7606"/>
    <w:rsid w:val="009D21AE"/>
    <w:rsid w:val="009E1138"/>
    <w:rsid w:val="009E23D6"/>
    <w:rsid w:val="009E4388"/>
    <w:rsid w:val="009F2984"/>
    <w:rsid w:val="009F3F37"/>
    <w:rsid w:val="009F548A"/>
    <w:rsid w:val="00A057F2"/>
    <w:rsid w:val="00A10E97"/>
    <w:rsid w:val="00A1284B"/>
    <w:rsid w:val="00A13186"/>
    <w:rsid w:val="00A1522F"/>
    <w:rsid w:val="00A22CBB"/>
    <w:rsid w:val="00A23E1A"/>
    <w:rsid w:val="00A243A6"/>
    <w:rsid w:val="00A31126"/>
    <w:rsid w:val="00A35F80"/>
    <w:rsid w:val="00A36576"/>
    <w:rsid w:val="00A374BD"/>
    <w:rsid w:val="00A45D3F"/>
    <w:rsid w:val="00A45F9D"/>
    <w:rsid w:val="00A4733E"/>
    <w:rsid w:val="00A52E18"/>
    <w:rsid w:val="00A5353F"/>
    <w:rsid w:val="00A53585"/>
    <w:rsid w:val="00A54734"/>
    <w:rsid w:val="00A54E10"/>
    <w:rsid w:val="00A55BFC"/>
    <w:rsid w:val="00A64039"/>
    <w:rsid w:val="00A64731"/>
    <w:rsid w:val="00A710F1"/>
    <w:rsid w:val="00A7299A"/>
    <w:rsid w:val="00A736DF"/>
    <w:rsid w:val="00A75A00"/>
    <w:rsid w:val="00A85C71"/>
    <w:rsid w:val="00A86149"/>
    <w:rsid w:val="00A870DB"/>
    <w:rsid w:val="00AA05FA"/>
    <w:rsid w:val="00AB06E1"/>
    <w:rsid w:val="00AB1ECB"/>
    <w:rsid w:val="00AB37C1"/>
    <w:rsid w:val="00AB3CF5"/>
    <w:rsid w:val="00AB58E9"/>
    <w:rsid w:val="00AC2AE2"/>
    <w:rsid w:val="00AC5C16"/>
    <w:rsid w:val="00AC78F5"/>
    <w:rsid w:val="00AD514C"/>
    <w:rsid w:val="00AE59CF"/>
    <w:rsid w:val="00B00299"/>
    <w:rsid w:val="00B06860"/>
    <w:rsid w:val="00B072E4"/>
    <w:rsid w:val="00B15688"/>
    <w:rsid w:val="00B173F6"/>
    <w:rsid w:val="00B25EB4"/>
    <w:rsid w:val="00B26181"/>
    <w:rsid w:val="00B31ADD"/>
    <w:rsid w:val="00B3406B"/>
    <w:rsid w:val="00B37CBA"/>
    <w:rsid w:val="00B42802"/>
    <w:rsid w:val="00B51CC8"/>
    <w:rsid w:val="00B56D31"/>
    <w:rsid w:val="00B6474F"/>
    <w:rsid w:val="00B65603"/>
    <w:rsid w:val="00B65A50"/>
    <w:rsid w:val="00B67665"/>
    <w:rsid w:val="00B71FCA"/>
    <w:rsid w:val="00B7400A"/>
    <w:rsid w:val="00B807A5"/>
    <w:rsid w:val="00B8094E"/>
    <w:rsid w:val="00B8459F"/>
    <w:rsid w:val="00B87601"/>
    <w:rsid w:val="00B93F3C"/>
    <w:rsid w:val="00B95D21"/>
    <w:rsid w:val="00B970F2"/>
    <w:rsid w:val="00BA0C7A"/>
    <w:rsid w:val="00BA20EB"/>
    <w:rsid w:val="00BA72CC"/>
    <w:rsid w:val="00BB0621"/>
    <w:rsid w:val="00BB0E79"/>
    <w:rsid w:val="00BB2E74"/>
    <w:rsid w:val="00BB35A3"/>
    <w:rsid w:val="00BB48C4"/>
    <w:rsid w:val="00BC19DF"/>
    <w:rsid w:val="00BC23A3"/>
    <w:rsid w:val="00BD1650"/>
    <w:rsid w:val="00BD44A2"/>
    <w:rsid w:val="00BD5DA8"/>
    <w:rsid w:val="00BE0FC8"/>
    <w:rsid w:val="00BF31F4"/>
    <w:rsid w:val="00BF37DB"/>
    <w:rsid w:val="00BF527B"/>
    <w:rsid w:val="00C02DD0"/>
    <w:rsid w:val="00C03AF3"/>
    <w:rsid w:val="00C0560A"/>
    <w:rsid w:val="00C10D72"/>
    <w:rsid w:val="00C11392"/>
    <w:rsid w:val="00C1562C"/>
    <w:rsid w:val="00C17A60"/>
    <w:rsid w:val="00C214FE"/>
    <w:rsid w:val="00C21D65"/>
    <w:rsid w:val="00C25143"/>
    <w:rsid w:val="00C30F47"/>
    <w:rsid w:val="00C31689"/>
    <w:rsid w:val="00C327E5"/>
    <w:rsid w:val="00C32BE8"/>
    <w:rsid w:val="00C357AE"/>
    <w:rsid w:val="00C35A6B"/>
    <w:rsid w:val="00C5076A"/>
    <w:rsid w:val="00C52F30"/>
    <w:rsid w:val="00C565C2"/>
    <w:rsid w:val="00C57A86"/>
    <w:rsid w:val="00C6547C"/>
    <w:rsid w:val="00C66F9D"/>
    <w:rsid w:val="00C727C7"/>
    <w:rsid w:val="00C86618"/>
    <w:rsid w:val="00C87251"/>
    <w:rsid w:val="00C87EC8"/>
    <w:rsid w:val="00C95DE4"/>
    <w:rsid w:val="00CA05CB"/>
    <w:rsid w:val="00CA124B"/>
    <w:rsid w:val="00CA15D9"/>
    <w:rsid w:val="00CA28E1"/>
    <w:rsid w:val="00CC31BF"/>
    <w:rsid w:val="00CC44FA"/>
    <w:rsid w:val="00CD6EDA"/>
    <w:rsid w:val="00CE17BC"/>
    <w:rsid w:val="00CE3992"/>
    <w:rsid w:val="00CF0E4E"/>
    <w:rsid w:val="00CF5298"/>
    <w:rsid w:val="00D01795"/>
    <w:rsid w:val="00D02D24"/>
    <w:rsid w:val="00D04CF4"/>
    <w:rsid w:val="00D10C53"/>
    <w:rsid w:val="00D16C89"/>
    <w:rsid w:val="00D22197"/>
    <w:rsid w:val="00D23216"/>
    <w:rsid w:val="00D25479"/>
    <w:rsid w:val="00D269AB"/>
    <w:rsid w:val="00D30012"/>
    <w:rsid w:val="00D34FE5"/>
    <w:rsid w:val="00D377BD"/>
    <w:rsid w:val="00D41E2A"/>
    <w:rsid w:val="00D42DA6"/>
    <w:rsid w:val="00D45A7C"/>
    <w:rsid w:val="00D53D2D"/>
    <w:rsid w:val="00D5651B"/>
    <w:rsid w:val="00D60FE1"/>
    <w:rsid w:val="00D64DEC"/>
    <w:rsid w:val="00D66B17"/>
    <w:rsid w:val="00D71400"/>
    <w:rsid w:val="00D72AD4"/>
    <w:rsid w:val="00D759CF"/>
    <w:rsid w:val="00D770CB"/>
    <w:rsid w:val="00D77854"/>
    <w:rsid w:val="00D83290"/>
    <w:rsid w:val="00D85989"/>
    <w:rsid w:val="00D919C3"/>
    <w:rsid w:val="00D959BE"/>
    <w:rsid w:val="00DA48E8"/>
    <w:rsid w:val="00DA75B4"/>
    <w:rsid w:val="00DA78CB"/>
    <w:rsid w:val="00DB3D09"/>
    <w:rsid w:val="00DB3FF3"/>
    <w:rsid w:val="00DB4072"/>
    <w:rsid w:val="00DB6518"/>
    <w:rsid w:val="00DB7E62"/>
    <w:rsid w:val="00DC0D5E"/>
    <w:rsid w:val="00DC3DC5"/>
    <w:rsid w:val="00DC544C"/>
    <w:rsid w:val="00DD0CE4"/>
    <w:rsid w:val="00DD7DB3"/>
    <w:rsid w:val="00DE5B6F"/>
    <w:rsid w:val="00DF0997"/>
    <w:rsid w:val="00DF2CDF"/>
    <w:rsid w:val="00DF3437"/>
    <w:rsid w:val="00E0047C"/>
    <w:rsid w:val="00E01553"/>
    <w:rsid w:val="00E0527C"/>
    <w:rsid w:val="00E05B65"/>
    <w:rsid w:val="00E071FA"/>
    <w:rsid w:val="00E074C2"/>
    <w:rsid w:val="00E1283C"/>
    <w:rsid w:val="00E136AD"/>
    <w:rsid w:val="00E161C4"/>
    <w:rsid w:val="00E261CC"/>
    <w:rsid w:val="00E304FD"/>
    <w:rsid w:val="00E31BE4"/>
    <w:rsid w:val="00E37DDE"/>
    <w:rsid w:val="00E416E5"/>
    <w:rsid w:val="00E426AC"/>
    <w:rsid w:val="00E47A6A"/>
    <w:rsid w:val="00E519D1"/>
    <w:rsid w:val="00E611EC"/>
    <w:rsid w:val="00E66586"/>
    <w:rsid w:val="00E70CEA"/>
    <w:rsid w:val="00E7609A"/>
    <w:rsid w:val="00E765B6"/>
    <w:rsid w:val="00E77301"/>
    <w:rsid w:val="00E96800"/>
    <w:rsid w:val="00EA0828"/>
    <w:rsid w:val="00EA2BAC"/>
    <w:rsid w:val="00EB48C7"/>
    <w:rsid w:val="00EB764F"/>
    <w:rsid w:val="00EC0F1D"/>
    <w:rsid w:val="00EC2737"/>
    <w:rsid w:val="00EC7A6D"/>
    <w:rsid w:val="00ED21EA"/>
    <w:rsid w:val="00ED24D6"/>
    <w:rsid w:val="00ED28EF"/>
    <w:rsid w:val="00ED476C"/>
    <w:rsid w:val="00ED695C"/>
    <w:rsid w:val="00EE7165"/>
    <w:rsid w:val="00EF3A6A"/>
    <w:rsid w:val="00EF523D"/>
    <w:rsid w:val="00F00268"/>
    <w:rsid w:val="00F0269C"/>
    <w:rsid w:val="00F041AD"/>
    <w:rsid w:val="00F05058"/>
    <w:rsid w:val="00F06EE0"/>
    <w:rsid w:val="00F11002"/>
    <w:rsid w:val="00F11A15"/>
    <w:rsid w:val="00F12A49"/>
    <w:rsid w:val="00F26F54"/>
    <w:rsid w:val="00F303BE"/>
    <w:rsid w:val="00F337DA"/>
    <w:rsid w:val="00F35183"/>
    <w:rsid w:val="00F4180B"/>
    <w:rsid w:val="00F421A9"/>
    <w:rsid w:val="00F438DF"/>
    <w:rsid w:val="00F442A4"/>
    <w:rsid w:val="00F455AD"/>
    <w:rsid w:val="00F45E01"/>
    <w:rsid w:val="00F46D58"/>
    <w:rsid w:val="00F62C13"/>
    <w:rsid w:val="00F62DBD"/>
    <w:rsid w:val="00F640E6"/>
    <w:rsid w:val="00F65476"/>
    <w:rsid w:val="00F655E6"/>
    <w:rsid w:val="00F65CD6"/>
    <w:rsid w:val="00F66AA5"/>
    <w:rsid w:val="00F71E2B"/>
    <w:rsid w:val="00F72214"/>
    <w:rsid w:val="00F766F1"/>
    <w:rsid w:val="00F82D2C"/>
    <w:rsid w:val="00F82F57"/>
    <w:rsid w:val="00F83136"/>
    <w:rsid w:val="00F870FA"/>
    <w:rsid w:val="00FA1574"/>
    <w:rsid w:val="00FA692C"/>
    <w:rsid w:val="00FA75B3"/>
    <w:rsid w:val="00FB021F"/>
    <w:rsid w:val="00FB43E5"/>
    <w:rsid w:val="00FB50E6"/>
    <w:rsid w:val="00FB56AD"/>
    <w:rsid w:val="00FC7DC8"/>
    <w:rsid w:val="00FD0B8D"/>
    <w:rsid w:val="00FD2085"/>
    <w:rsid w:val="00FD7016"/>
    <w:rsid w:val="00FD77F7"/>
    <w:rsid w:val="00FD7BCE"/>
    <w:rsid w:val="00FE7585"/>
    <w:rsid w:val="00FF04BD"/>
    <w:rsid w:val="00FF414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oNotEmbedSmartTags/>
  <w:decimalSymbol w:val="."/>
  <w:listSeparator w:val=","/>
  <w14:docId w14:val="120D0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Text Normal"/>
    <w:rsid w:val="00CC44FA"/>
    <w:rPr>
      <w:rFonts w:ascii="Helvetica Neue" w:hAnsi="Helvetica Neue"/>
      <w:color w:val="525252" w:themeColor="text1" w:themeTint="BF"/>
    </w:rPr>
  </w:style>
  <w:style w:type="paragraph" w:styleId="Heading1">
    <w:name w:val="heading 1"/>
    <w:basedOn w:val="Normal"/>
    <w:next w:val="Normal"/>
    <w:link w:val="Heading1Char"/>
    <w:rsid w:val="00B87601"/>
    <w:pPr>
      <w:keepNext/>
      <w:keepLines/>
      <w:spacing w:before="480"/>
      <w:outlineLvl w:val="0"/>
    </w:pPr>
    <w:rPr>
      <w:rFonts w:asciiTheme="majorHAnsi" w:eastAsiaTheme="majorEastAsia" w:hAnsiTheme="majorHAnsi" w:cstheme="majorBidi"/>
      <w:b/>
      <w:bCs/>
      <w:color w:val="00344B" w:themeColor="accent1" w:themeShade="B5"/>
      <w:sz w:val="32"/>
      <w:szCs w:val="32"/>
    </w:rPr>
  </w:style>
  <w:style w:type="paragraph" w:styleId="Heading2">
    <w:name w:val="heading 2"/>
    <w:basedOn w:val="Normal2"/>
    <w:next w:val="Normal2"/>
    <w:link w:val="Heading2Char"/>
    <w:rsid w:val="00164A5A"/>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link w:val="Heading3Char"/>
    <w:unhideWhenUsed/>
    <w:qFormat/>
    <w:rsid w:val="00164A5A"/>
    <w:pPr>
      <w:keepNext/>
      <w:keepLines/>
      <w:spacing w:before="200"/>
      <w:outlineLvl w:val="2"/>
    </w:pPr>
    <w:rPr>
      <w:rFonts w:asciiTheme="majorHAnsi" w:eastAsiaTheme="majorEastAsia" w:hAnsiTheme="majorHAnsi" w:cstheme="majorBidi"/>
      <w:b/>
      <w:bCs/>
      <w:color w:val="004B6B" w:themeColor="accent1"/>
    </w:rPr>
  </w:style>
  <w:style w:type="paragraph" w:styleId="Heading4">
    <w:name w:val="heading 4"/>
    <w:basedOn w:val="Normal"/>
    <w:next w:val="Normal"/>
    <w:link w:val="Heading4Char"/>
    <w:unhideWhenUsed/>
    <w:qFormat/>
    <w:rsid w:val="00164A5A"/>
    <w:pPr>
      <w:keepNext/>
      <w:keepLines/>
      <w:spacing w:before="200"/>
      <w:outlineLvl w:val="3"/>
    </w:pPr>
    <w:rPr>
      <w:rFonts w:asciiTheme="majorHAnsi" w:eastAsiaTheme="majorEastAsia" w:hAnsiTheme="majorHAnsi" w:cstheme="majorBidi"/>
      <w:b/>
      <w:bCs/>
      <w:i/>
      <w:iCs/>
      <w:color w:val="004B6B" w:themeColor="accent1"/>
    </w:rPr>
  </w:style>
  <w:style w:type="paragraph" w:styleId="Heading5">
    <w:name w:val="heading 5"/>
    <w:basedOn w:val="Normal2"/>
    <w:next w:val="Normal2"/>
    <w:link w:val="Heading5Char"/>
    <w:rsid w:val="00164A5A"/>
    <w:pPr>
      <w:keepNext/>
      <w:keepLines/>
      <w:spacing w:before="200"/>
      <w:outlineLvl w:val="4"/>
    </w:pPr>
    <w:rPr>
      <w:rFonts w:ascii="Calibri" w:eastAsia="Calibri" w:hAnsi="Calibri" w:cs="Calibri"/>
      <w:color w:val="243F61"/>
    </w:rPr>
  </w:style>
  <w:style w:type="paragraph" w:styleId="Heading6">
    <w:name w:val="heading 6"/>
    <w:basedOn w:val="Normal2"/>
    <w:next w:val="Normal2"/>
    <w:link w:val="Heading6Char"/>
    <w:rsid w:val="00164A5A"/>
    <w:pPr>
      <w:keepNext/>
      <w:keepLines/>
      <w:spacing w:before="200"/>
      <w:outlineLvl w:val="5"/>
    </w:pPr>
    <w:rPr>
      <w:rFonts w:ascii="Calibri" w:eastAsia="Calibri" w:hAnsi="Calibri" w:cs="Calibri"/>
      <w:i/>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MIReport-BodyText">
    <w:name w:val="RMI Report-Body Text"/>
    <w:basedOn w:val="Normal"/>
    <w:autoRedefine/>
    <w:rsid w:val="00E37DDE"/>
  </w:style>
  <w:style w:type="paragraph" w:customStyle="1" w:styleId="ChapterHeadline">
    <w:name w:val="Chapter Headline"/>
    <w:basedOn w:val="Normal"/>
    <w:autoRedefine/>
    <w:rsid w:val="00E37DDE"/>
    <w:rPr>
      <w:rFonts w:ascii="Helvetica Neue UltraLight" w:hAnsi="Helvetica Neue UltraLight"/>
      <w:caps/>
      <w:color w:val="696969" w:themeColor="text1" w:themeTint="A6"/>
      <w:spacing w:val="30"/>
      <w:sz w:val="72"/>
      <w:szCs w:val="72"/>
    </w:rPr>
  </w:style>
  <w:style w:type="paragraph" w:customStyle="1" w:styleId="SectionHeadline">
    <w:name w:val="Section Headline"/>
    <w:basedOn w:val="Normal"/>
    <w:next w:val="Normal"/>
    <w:rsid w:val="00E37DDE"/>
    <w:pPr>
      <w:ind w:left="-720" w:firstLine="720"/>
      <w:jc w:val="both"/>
    </w:pPr>
    <w:rPr>
      <w:rFonts w:ascii="Helvetica Neue Medium" w:hAnsi="Helvetica Neue Medium"/>
      <w:caps/>
      <w:spacing w:val="30"/>
      <w:sz w:val="32"/>
      <w:szCs w:val="32"/>
    </w:rPr>
  </w:style>
  <w:style w:type="paragraph" w:customStyle="1" w:styleId="1MainTitle">
    <w:name w:val="1.Main Title"/>
    <w:basedOn w:val="5BodyText"/>
    <w:next w:val="5BodyText"/>
    <w:autoRedefine/>
    <w:qFormat/>
    <w:rsid w:val="0075374D"/>
    <w:rPr>
      <w:rFonts w:ascii="Helvetica Neue Light" w:hAnsi="Helvetica Neue Light"/>
      <w:caps/>
      <w:color w:val="004B6B" w:themeColor="accent1"/>
      <w:sz w:val="60"/>
      <w:szCs w:val="60"/>
    </w:rPr>
  </w:style>
  <w:style w:type="paragraph" w:customStyle="1" w:styleId="2SubTitle">
    <w:name w:val="2.SubTitle"/>
    <w:basedOn w:val="5BodyText"/>
    <w:next w:val="5BodyText"/>
    <w:autoRedefine/>
    <w:qFormat/>
    <w:rsid w:val="008155D7"/>
    <w:pPr>
      <w:spacing w:before="120"/>
    </w:pPr>
    <w:rPr>
      <w:rFonts w:ascii="Helvetica Neue Medium" w:hAnsi="Helvetica Neue Medium"/>
      <w:caps/>
      <w:sz w:val="28"/>
      <w:szCs w:val="28"/>
    </w:rPr>
  </w:style>
  <w:style w:type="paragraph" w:customStyle="1" w:styleId="3SectionTitle">
    <w:name w:val="3.SectionTitle"/>
    <w:basedOn w:val="5BodyText"/>
    <w:next w:val="5BodyText"/>
    <w:autoRedefine/>
    <w:qFormat/>
    <w:rsid w:val="00875F55"/>
    <w:rPr>
      <w:caps/>
      <w:color w:val="004B6B" w:themeColor="accent1"/>
      <w:sz w:val="24"/>
    </w:rPr>
  </w:style>
  <w:style w:type="paragraph" w:customStyle="1" w:styleId="4Quote">
    <w:name w:val="4.Quote"/>
    <w:basedOn w:val="Normal"/>
    <w:autoRedefine/>
    <w:qFormat/>
    <w:rsid w:val="00A736DF"/>
    <w:rPr>
      <w:rFonts w:ascii="Helvetica Neue Light" w:hAnsi="Helvetica Neue Light"/>
      <w:color w:val="004B6B" w:themeColor="accent1"/>
      <w:sz w:val="28"/>
    </w:rPr>
  </w:style>
  <w:style w:type="paragraph" w:customStyle="1" w:styleId="5BodyText">
    <w:name w:val="5.BodyText"/>
    <w:basedOn w:val="Normal"/>
    <w:qFormat/>
    <w:rsid w:val="00ED21EA"/>
    <w:rPr>
      <w:color w:val="4C4C4C" w:themeColor="text2"/>
      <w:sz w:val="20"/>
    </w:rPr>
  </w:style>
  <w:style w:type="paragraph" w:customStyle="1" w:styleId="6BodyHighlight">
    <w:name w:val="6.BodyHighlight"/>
    <w:basedOn w:val="5BodyText"/>
    <w:next w:val="5BodyText"/>
    <w:qFormat/>
    <w:rsid w:val="006B5088"/>
    <w:rPr>
      <w:rFonts w:ascii="Helvetica Neue Medium" w:hAnsi="Helvetica Neue Medium"/>
      <w:sz w:val="24"/>
    </w:rPr>
  </w:style>
  <w:style w:type="paragraph" w:customStyle="1" w:styleId="7Caption">
    <w:name w:val="7.Caption"/>
    <w:basedOn w:val="5BodyText"/>
    <w:next w:val="5BodyText"/>
    <w:autoRedefine/>
    <w:qFormat/>
    <w:rsid w:val="00070F01"/>
    <w:pPr>
      <w:keepNext/>
      <w:keepLines/>
    </w:pPr>
    <w:rPr>
      <w:caps/>
      <w:color w:val="8B8B8B" w:themeColor="text1" w:themeTint="80"/>
      <w:sz w:val="16"/>
      <w:szCs w:val="16"/>
    </w:rPr>
  </w:style>
  <w:style w:type="paragraph" w:styleId="Header">
    <w:name w:val="header"/>
    <w:basedOn w:val="Normal"/>
    <w:link w:val="HeaderChar"/>
    <w:uiPriority w:val="99"/>
    <w:unhideWhenUsed/>
    <w:rsid w:val="00CC44FA"/>
    <w:pPr>
      <w:tabs>
        <w:tab w:val="center" w:pos="4320"/>
        <w:tab w:val="right" w:pos="8640"/>
      </w:tabs>
    </w:pPr>
  </w:style>
  <w:style w:type="character" w:customStyle="1" w:styleId="HeaderChar">
    <w:name w:val="Header Char"/>
    <w:basedOn w:val="DefaultParagraphFont"/>
    <w:link w:val="Header"/>
    <w:uiPriority w:val="99"/>
    <w:rsid w:val="00CC44FA"/>
    <w:rPr>
      <w:rFonts w:ascii="Helvetica Neue" w:hAnsi="Helvetica Neue"/>
      <w:color w:val="525252" w:themeColor="text1" w:themeTint="BF"/>
      <w:sz w:val="24"/>
      <w:szCs w:val="24"/>
    </w:rPr>
  </w:style>
  <w:style w:type="paragraph" w:styleId="Footer">
    <w:name w:val="footer"/>
    <w:basedOn w:val="Normal"/>
    <w:link w:val="FooterChar"/>
    <w:uiPriority w:val="99"/>
    <w:unhideWhenUsed/>
    <w:rsid w:val="00CC44FA"/>
    <w:pPr>
      <w:tabs>
        <w:tab w:val="center" w:pos="4320"/>
        <w:tab w:val="right" w:pos="8640"/>
      </w:tabs>
    </w:pPr>
  </w:style>
  <w:style w:type="character" w:customStyle="1" w:styleId="FooterChar">
    <w:name w:val="Footer Char"/>
    <w:basedOn w:val="DefaultParagraphFont"/>
    <w:link w:val="Footer"/>
    <w:uiPriority w:val="99"/>
    <w:rsid w:val="00CC44FA"/>
    <w:rPr>
      <w:rFonts w:ascii="Helvetica Neue" w:hAnsi="Helvetica Neue"/>
      <w:color w:val="525252" w:themeColor="text1" w:themeTint="BF"/>
      <w:sz w:val="24"/>
      <w:szCs w:val="24"/>
    </w:rPr>
  </w:style>
  <w:style w:type="paragraph" w:styleId="BalloonText">
    <w:name w:val="Balloon Text"/>
    <w:basedOn w:val="Normal"/>
    <w:link w:val="BalloonTextChar"/>
    <w:uiPriority w:val="99"/>
    <w:semiHidden/>
    <w:unhideWhenUsed/>
    <w:rsid w:val="00A55B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5BFC"/>
    <w:rPr>
      <w:rFonts w:ascii="Lucida Grande" w:hAnsi="Lucida Grande" w:cs="Lucida Grande"/>
      <w:color w:val="525252" w:themeColor="text1" w:themeTint="BF"/>
      <w:sz w:val="18"/>
      <w:szCs w:val="18"/>
    </w:rPr>
  </w:style>
  <w:style w:type="paragraph" w:styleId="CommentText">
    <w:name w:val="annotation text"/>
    <w:basedOn w:val="Normal"/>
    <w:link w:val="CommentTextChar"/>
    <w:uiPriority w:val="99"/>
    <w:unhideWhenUsed/>
    <w:rsid w:val="00B970F2"/>
    <w:rPr>
      <w:rFonts w:ascii="Cambria" w:eastAsia="Cambria" w:hAnsi="Cambria" w:cs="Cambria"/>
      <w:color w:val="000000"/>
      <w:lang w:eastAsia="en-US"/>
    </w:rPr>
  </w:style>
  <w:style w:type="character" w:customStyle="1" w:styleId="CommentTextChar">
    <w:name w:val="Comment Text Char"/>
    <w:basedOn w:val="DefaultParagraphFont"/>
    <w:link w:val="CommentText"/>
    <w:uiPriority w:val="99"/>
    <w:rsid w:val="00B970F2"/>
    <w:rPr>
      <w:rFonts w:ascii="Cambria" w:eastAsia="Cambria" w:hAnsi="Cambria" w:cs="Cambria"/>
      <w:color w:val="000000"/>
      <w:sz w:val="24"/>
      <w:szCs w:val="24"/>
      <w:lang w:eastAsia="en-US"/>
    </w:rPr>
  </w:style>
  <w:style w:type="character" w:styleId="CommentReference">
    <w:name w:val="annotation reference"/>
    <w:basedOn w:val="DefaultParagraphFont"/>
    <w:uiPriority w:val="99"/>
    <w:semiHidden/>
    <w:unhideWhenUsed/>
    <w:rsid w:val="00B970F2"/>
    <w:rPr>
      <w:sz w:val="18"/>
      <w:szCs w:val="18"/>
    </w:rPr>
  </w:style>
  <w:style w:type="paragraph" w:customStyle="1" w:styleId="Normal1">
    <w:name w:val="Normal1"/>
    <w:rsid w:val="00A10E97"/>
    <w:rPr>
      <w:rFonts w:ascii="Cambria" w:eastAsia="Cambria" w:hAnsi="Cambria" w:cs="Cambria"/>
      <w:color w:val="000000"/>
      <w:lang w:eastAsia="en-US"/>
    </w:rPr>
  </w:style>
  <w:style w:type="paragraph" w:styleId="ListParagraph">
    <w:name w:val="List Paragraph"/>
    <w:basedOn w:val="Normal"/>
    <w:uiPriority w:val="34"/>
    <w:qFormat/>
    <w:rsid w:val="00A10E97"/>
    <w:pPr>
      <w:ind w:left="720"/>
      <w:contextualSpacing/>
    </w:pPr>
    <w:rPr>
      <w:rFonts w:ascii="Cambria" w:eastAsia="Cambria" w:hAnsi="Cambria" w:cs="Cambria"/>
      <w:color w:val="000000"/>
      <w:lang w:eastAsia="en-US"/>
    </w:rPr>
  </w:style>
  <w:style w:type="paragraph" w:styleId="FootnoteText">
    <w:name w:val="footnote text"/>
    <w:basedOn w:val="Normal"/>
    <w:link w:val="FootnoteTextChar"/>
    <w:uiPriority w:val="99"/>
    <w:unhideWhenUsed/>
    <w:rsid w:val="00547FA5"/>
    <w:rPr>
      <w:sz w:val="20"/>
      <w:szCs w:val="20"/>
    </w:rPr>
  </w:style>
  <w:style w:type="character" w:customStyle="1" w:styleId="FootnoteTextChar">
    <w:name w:val="Footnote Text Char"/>
    <w:basedOn w:val="DefaultParagraphFont"/>
    <w:link w:val="FootnoteText"/>
    <w:uiPriority w:val="99"/>
    <w:rsid w:val="00547FA5"/>
    <w:rPr>
      <w:rFonts w:ascii="Helvetica Neue" w:hAnsi="Helvetica Neue"/>
      <w:color w:val="525252" w:themeColor="text1" w:themeTint="BF"/>
    </w:rPr>
  </w:style>
  <w:style w:type="character" w:styleId="FootnoteReference">
    <w:name w:val="footnote reference"/>
    <w:basedOn w:val="DefaultParagraphFont"/>
    <w:uiPriority w:val="99"/>
    <w:unhideWhenUsed/>
    <w:rsid w:val="0095400D"/>
    <w:rPr>
      <w:vertAlign w:val="superscript"/>
    </w:rPr>
  </w:style>
  <w:style w:type="character" w:styleId="Hyperlink">
    <w:name w:val="Hyperlink"/>
    <w:basedOn w:val="DefaultParagraphFont"/>
    <w:uiPriority w:val="99"/>
    <w:unhideWhenUsed/>
    <w:rsid w:val="0095400D"/>
    <w:rPr>
      <w:color w:val="262726" w:themeColor="hyperlink"/>
      <w:u w:val="single"/>
    </w:rPr>
  </w:style>
  <w:style w:type="paragraph" w:styleId="EndnoteText">
    <w:name w:val="endnote text"/>
    <w:basedOn w:val="Normal"/>
    <w:link w:val="EndnoteTextChar"/>
    <w:uiPriority w:val="99"/>
    <w:unhideWhenUsed/>
    <w:rsid w:val="00B06860"/>
  </w:style>
  <w:style w:type="character" w:customStyle="1" w:styleId="EndnoteTextChar">
    <w:name w:val="Endnote Text Char"/>
    <w:basedOn w:val="DefaultParagraphFont"/>
    <w:link w:val="EndnoteText"/>
    <w:uiPriority w:val="99"/>
    <w:rsid w:val="00B06860"/>
    <w:rPr>
      <w:rFonts w:ascii="Helvetica Neue" w:hAnsi="Helvetica Neue"/>
      <w:color w:val="525252" w:themeColor="text1" w:themeTint="BF"/>
      <w:sz w:val="24"/>
      <w:szCs w:val="24"/>
    </w:rPr>
  </w:style>
  <w:style w:type="character" w:styleId="EndnoteReference">
    <w:name w:val="endnote reference"/>
    <w:basedOn w:val="DefaultParagraphFont"/>
    <w:uiPriority w:val="99"/>
    <w:unhideWhenUsed/>
    <w:rsid w:val="00B06860"/>
    <w:rPr>
      <w:vertAlign w:val="superscript"/>
    </w:rPr>
  </w:style>
  <w:style w:type="paragraph" w:customStyle="1" w:styleId="Normal2">
    <w:name w:val="Normal2"/>
    <w:rsid w:val="00234576"/>
    <w:rPr>
      <w:rFonts w:ascii="Cambria" w:eastAsia="Cambria" w:hAnsi="Cambria" w:cs="Cambria"/>
      <w:color w:val="000000"/>
      <w:lang w:eastAsia="en-US"/>
    </w:rPr>
  </w:style>
  <w:style w:type="paragraph" w:styleId="Caption">
    <w:name w:val="caption"/>
    <w:basedOn w:val="Normal"/>
    <w:next w:val="Normal"/>
    <w:uiPriority w:val="35"/>
    <w:unhideWhenUsed/>
    <w:qFormat/>
    <w:rsid w:val="002F1E06"/>
    <w:pPr>
      <w:spacing w:after="200"/>
    </w:pPr>
    <w:rPr>
      <w:b/>
      <w:bCs/>
      <w:color w:val="004B6B" w:themeColor="accent1"/>
      <w:sz w:val="18"/>
      <w:szCs w:val="18"/>
    </w:rPr>
  </w:style>
  <w:style w:type="paragraph" w:styleId="CommentSubject">
    <w:name w:val="annotation subject"/>
    <w:basedOn w:val="CommentText"/>
    <w:next w:val="CommentText"/>
    <w:link w:val="CommentSubjectChar"/>
    <w:uiPriority w:val="99"/>
    <w:semiHidden/>
    <w:unhideWhenUsed/>
    <w:rsid w:val="001E35F5"/>
    <w:rPr>
      <w:rFonts w:ascii="Helvetica Neue" w:eastAsiaTheme="minorEastAsia" w:hAnsi="Helvetica Neue" w:cstheme="minorBidi"/>
      <w:b/>
      <w:bCs/>
      <w:color w:val="525252" w:themeColor="text1" w:themeTint="BF"/>
      <w:sz w:val="20"/>
      <w:szCs w:val="20"/>
      <w:lang w:eastAsia="ja-JP"/>
    </w:rPr>
  </w:style>
  <w:style w:type="character" w:customStyle="1" w:styleId="CommentSubjectChar">
    <w:name w:val="Comment Subject Char"/>
    <w:basedOn w:val="CommentTextChar"/>
    <w:link w:val="CommentSubject"/>
    <w:uiPriority w:val="99"/>
    <w:semiHidden/>
    <w:rsid w:val="001E35F5"/>
    <w:rPr>
      <w:rFonts w:ascii="Helvetica Neue" w:eastAsia="Cambria" w:hAnsi="Helvetica Neue" w:cs="Cambria"/>
      <w:b/>
      <w:bCs/>
      <w:color w:val="525252" w:themeColor="text1" w:themeTint="BF"/>
      <w:sz w:val="24"/>
      <w:szCs w:val="24"/>
      <w:lang w:eastAsia="en-US"/>
    </w:rPr>
  </w:style>
  <w:style w:type="character" w:customStyle="1" w:styleId="Heading1Char">
    <w:name w:val="Heading 1 Char"/>
    <w:basedOn w:val="DefaultParagraphFont"/>
    <w:link w:val="Heading1"/>
    <w:rsid w:val="00B87601"/>
    <w:rPr>
      <w:rFonts w:asciiTheme="majorHAnsi" w:eastAsiaTheme="majorEastAsia" w:hAnsiTheme="majorHAnsi" w:cstheme="majorBidi"/>
      <w:b/>
      <w:bCs/>
      <w:color w:val="00344B" w:themeColor="accent1" w:themeShade="B5"/>
      <w:sz w:val="32"/>
      <w:szCs w:val="32"/>
    </w:rPr>
  </w:style>
  <w:style w:type="table" w:styleId="TableGrid">
    <w:name w:val="Table Grid"/>
    <w:basedOn w:val="TableNormal"/>
    <w:uiPriority w:val="59"/>
    <w:rsid w:val="008D404C"/>
    <w:rPr>
      <w:rFonts w:ascii="Cambria" w:eastAsia="Cambria" w:hAnsi="Cambria" w:cs="Cambria"/>
      <w:color w:val="00000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57A86"/>
    <w:rPr>
      <w:color w:val="262726" w:themeColor="followedHyperlink"/>
      <w:u w:val="single"/>
    </w:rPr>
  </w:style>
  <w:style w:type="numbering" w:customStyle="1" w:styleId="Actionlist">
    <w:name w:val="Action list"/>
    <w:uiPriority w:val="99"/>
    <w:rsid w:val="00E01553"/>
    <w:pPr>
      <w:numPr>
        <w:numId w:val="22"/>
      </w:numPr>
    </w:pPr>
  </w:style>
  <w:style w:type="numbering" w:customStyle="1" w:styleId="E2025actionlist">
    <w:name w:val="E2025 action list"/>
    <w:uiPriority w:val="99"/>
    <w:rsid w:val="00E01553"/>
    <w:pPr>
      <w:numPr>
        <w:numId w:val="23"/>
      </w:numPr>
    </w:pPr>
  </w:style>
  <w:style w:type="character" w:customStyle="1" w:styleId="Heading2Char">
    <w:name w:val="Heading 2 Char"/>
    <w:basedOn w:val="DefaultParagraphFont"/>
    <w:link w:val="Heading2"/>
    <w:rsid w:val="00164A5A"/>
    <w:rPr>
      <w:rFonts w:ascii="Calibri" w:eastAsia="Calibri" w:hAnsi="Calibri" w:cs="Calibri"/>
      <w:b/>
      <w:color w:val="4F81BD"/>
      <w:sz w:val="26"/>
      <w:szCs w:val="26"/>
      <w:lang w:eastAsia="en-US"/>
    </w:rPr>
  </w:style>
  <w:style w:type="character" w:customStyle="1" w:styleId="Heading3Char">
    <w:name w:val="Heading 3 Char"/>
    <w:basedOn w:val="DefaultParagraphFont"/>
    <w:link w:val="Heading3"/>
    <w:rsid w:val="00164A5A"/>
    <w:rPr>
      <w:rFonts w:asciiTheme="majorHAnsi" w:eastAsiaTheme="majorEastAsia" w:hAnsiTheme="majorHAnsi" w:cstheme="majorBidi"/>
      <w:b/>
      <w:bCs/>
      <w:color w:val="004B6B" w:themeColor="accent1"/>
      <w:sz w:val="24"/>
      <w:szCs w:val="24"/>
    </w:rPr>
  </w:style>
  <w:style w:type="character" w:customStyle="1" w:styleId="Heading4Char">
    <w:name w:val="Heading 4 Char"/>
    <w:basedOn w:val="DefaultParagraphFont"/>
    <w:link w:val="Heading4"/>
    <w:rsid w:val="00164A5A"/>
    <w:rPr>
      <w:rFonts w:asciiTheme="majorHAnsi" w:eastAsiaTheme="majorEastAsia" w:hAnsiTheme="majorHAnsi" w:cstheme="majorBidi"/>
      <w:b/>
      <w:bCs/>
      <w:i/>
      <w:iCs/>
      <w:color w:val="004B6B" w:themeColor="accent1"/>
      <w:sz w:val="24"/>
      <w:szCs w:val="24"/>
    </w:rPr>
  </w:style>
  <w:style w:type="character" w:customStyle="1" w:styleId="Heading5Char">
    <w:name w:val="Heading 5 Char"/>
    <w:basedOn w:val="DefaultParagraphFont"/>
    <w:link w:val="Heading5"/>
    <w:rsid w:val="00164A5A"/>
    <w:rPr>
      <w:rFonts w:ascii="Calibri" w:eastAsia="Calibri" w:hAnsi="Calibri" w:cs="Calibri"/>
      <w:color w:val="243F61"/>
      <w:sz w:val="24"/>
      <w:szCs w:val="24"/>
      <w:lang w:eastAsia="en-US"/>
    </w:rPr>
  </w:style>
  <w:style w:type="character" w:customStyle="1" w:styleId="Heading6Char">
    <w:name w:val="Heading 6 Char"/>
    <w:basedOn w:val="DefaultParagraphFont"/>
    <w:link w:val="Heading6"/>
    <w:rsid w:val="00164A5A"/>
    <w:rPr>
      <w:rFonts w:ascii="Calibri" w:eastAsia="Calibri" w:hAnsi="Calibri" w:cs="Calibri"/>
      <w:i/>
      <w:color w:val="243F61"/>
      <w:sz w:val="24"/>
      <w:szCs w:val="24"/>
      <w:lang w:eastAsia="en-US"/>
    </w:rPr>
  </w:style>
  <w:style w:type="paragraph" w:styleId="Title">
    <w:name w:val="Title"/>
    <w:basedOn w:val="Normal"/>
    <w:next w:val="Normal"/>
    <w:link w:val="TitleChar"/>
    <w:rsid w:val="00164A5A"/>
    <w:pPr>
      <w:pBdr>
        <w:bottom w:val="single" w:sz="8" w:space="4" w:color="004B6B" w:themeColor="accent1"/>
      </w:pBdr>
      <w:spacing w:after="300"/>
      <w:contextualSpacing/>
    </w:pPr>
    <w:rPr>
      <w:rFonts w:asciiTheme="majorHAnsi" w:eastAsiaTheme="majorEastAsia" w:hAnsiTheme="majorHAnsi" w:cstheme="majorBidi"/>
      <w:color w:val="383838" w:themeColor="text2" w:themeShade="BF"/>
      <w:spacing w:val="5"/>
      <w:kern w:val="28"/>
      <w:sz w:val="52"/>
      <w:szCs w:val="52"/>
    </w:rPr>
  </w:style>
  <w:style w:type="character" w:customStyle="1" w:styleId="TitleChar">
    <w:name w:val="Title Char"/>
    <w:basedOn w:val="DefaultParagraphFont"/>
    <w:link w:val="Title"/>
    <w:rsid w:val="00164A5A"/>
    <w:rPr>
      <w:rFonts w:asciiTheme="majorHAnsi" w:eastAsiaTheme="majorEastAsia" w:hAnsiTheme="majorHAnsi" w:cstheme="majorBidi"/>
      <w:color w:val="383838" w:themeColor="text2" w:themeShade="BF"/>
      <w:spacing w:val="5"/>
      <w:kern w:val="28"/>
      <w:sz w:val="52"/>
      <w:szCs w:val="52"/>
    </w:rPr>
  </w:style>
  <w:style w:type="paragraph" w:styleId="Subtitle">
    <w:name w:val="Subtitle"/>
    <w:basedOn w:val="Normal2"/>
    <w:next w:val="Normal2"/>
    <w:link w:val="SubtitleChar"/>
    <w:rsid w:val="00164A5A"/>
    <w:pPr>
      <w:keepNext/>
      <w:keepLines/>
    </w:pPr>
    <w:rPr>
      <w:rFonts w:ascii="Calibri" w:eastAsia="Calibri" w:hAnsi="Calibri" w:cs="Calibri"/>
      <w:i/>
      <w:color w:val="4F81BD"/>
    </w:rPr>
  </w:style>
  <w:style w:type="character" w:customStyle="1" w:styleId="SubtitleChar">
    <w:name w:val="Subtitle Char"/>
    <w:basedOn w:val="DefaultParagraphFont"/>
    <w:link w:val="Subtitle"/>
    <w:rsid w:val="00164A5A"/>
    <w:rPr>
      <w:rFonts w:ascii="Calibri" w:eastAsia="Calibri" w:hAnsi="Calibri" w:cs="Calibri"/>
      <w:i/>
      <w:color w:val="4F81BD"/>
      <w:sz w:val="24"/>
      <w:szCs w:val="24"/>
      <w:lang w:eastAsia="en-US"/>
    </w:rPr>
  </w:style>
  <w:style w:type="paragraph" w:styleId="TOC1">
    <w:name w:val="toc 1"/>
    <w:basedOn w:val="Normal"/>
    <w:next w:val="Normal"/>
    <w:autoRedefine/>
    <w:uiPriority w:val="39"/>
    <w:unhideWhenUsed/>
    <w:rsid w:val="00164A5A"/>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164A5A"/>
    <w:pPr>
      <w:ind w:left="240"/>
    </w:pPr>
    <w:rPr>
      <w:rFonts w:asciiTheme="minorHAnsi" w:hAnsiTheme="minorHAnsi"/>
      <w:smallCaps/>
      <w:sz w:val="22"/>
      <w:szCs w:val="22"/>
    </w:rPr>
  </w:style>
  <w:style w:type="paragraph" w:styleId="TOC3">
    <w:name w:val="toc 3"/>
    <w:basedOn w:val="Normal"/>
    <w:next w:val="Normal"/>
    <w:autoRedefine/>
    <w:uiPriority w:val="39"/>
    <w:unhideWhenUsed/>
    <w:rsid w:val="00164A5A"/>
    <w:pPr>
      <w:ind w:left="480"/>
    </w:pPr>
    <w:rPr>
      <w:rFonts w:asciiTheme="minorHAnsi" w:hAnsiTheme="minorHAnsi"/>
      <w:i/>
      <w:sz w:val="22"/>
      <w:szCs w:val="22"/>
    </w:rPr>
  </w:style>
  <w:style w:type="paragraph" w:styleId="TOC4">
    <w:name w:val="toc 4"/>
    <w:basedOn w:val="Normal"/>
    <w:next w:val="Normal"/>
    <w:autoRedefine/>
    <w:uiPriority w:val="39"/>
    <w:unhideWhenUsed/>
    <w:rsid w:val="00164A5A"/>
    <w:pPr>
      <w:ind w:left="720"/>
    </w:pPr>
    <w:rPr>
      <w:rFonts w:asciiTheme="minorHAnsi" w:hAnsiTheme="minorHAnsi"/>
      <w:sz w:val="18"/>
      <w:szCs w:val="18"/>
    </w:rPr>
  </w:style>
  <w:style w:type="paragraph" w:styleId="TOC5">
    <w:name w:val="toc 5"/>
    <w:basedOn w:val="Normal"/>
    <w:next w:val="Normal"/>
    <w:autoRedefine/>
    <w:uiPriority w:val="39"/>
    <w:unhideWhenUsed/>
    <w:rsid w:val="00164A5A"/>
    <w:pPr>
      <w:ind w:left="960"/>
    </w:pPr>
    <w:rPr>
      <w:rFonts w:asciiTheme="minorHAnsi" w:hAnsiTheme="minorHAnsi"/>
      <w:sz w:val="18"/>
      <w:szCs w:val="18"/>
    </w:rPr>
  </w:style>
  <w:style w:type="paragraph" w:styleId="TOC6">
    <w:name w:val="toc 6"/>
    <w:basedOn w:val="Normal"/>
    <w:next w:val="Normal"/>
    <w:autoRedefine/>
    <w:uiPriority w:val="39"/>
    <w:unhideWhenUsed/>
    <w:rsid w:val="00164A5A"/>
    <w:pPr>
      <w:ind w:left="1200"/>
    </w:pPr>
    <w:rPr>
      <w:rFonts w:asciiTheme="minorHAnsi" w:hAnsiTheme="minorHAnsi"/>
      <w:sz w:val="18"/>
      <w:szCs w:val="18"/>
    </w:rPr>
  </w:style>
  <w:style w:type="paragraph" w:styleId="TOC7">
    <w:name w:val="toc 7"/>
    <w:basedOn w:val="Normal"/>
    <w:next w:val="Normal"/>
    <w:autoRedefine/>
    <w:uiPriority w:val="39"/>
    <w:unhideWhenUsed/>
    <w:rsid w:val="00164A5A"/>
    <w:pPr>
      <w:ind w:left="1440"/>
    </w:pPr>
    <w:rPr>
      <w:rFonts w:asciiTheme="minorHAnsi" w:hAnsiTheme="minorHAnsi"/>
      <w:sz w:val="18"/>
      <w:szCs w:val="18"/>
    </w:rPr>
  </w:style>
  <w:style w:type="paragraph" w:styleId="TOC8">
    <w:name w:val="toc 8"/>
    <w:basedOn w:val="Normal"/>
    <w:next w:val="Normal"/>
    <w:autoRedefine/>
    <w:uiPriority w:val="39"/>
    <w:unhideWhenUsed/>
    <w:rsid w:val="00164A5A"/>
    <w:pPr>
      <w:ind w:left="1680"/>
    </w:pPr>
    <w:rPr>
      <w:rFonts w:asciiTheme="minorHAnsi" w:hAnsiTheme="minorHAnsi"/>
      <w:sz w:val="18"/>
      <w:szCs w:val="18"/>
    </w:rPr>
  </w:style>
  <w:style w:type="paragraph" w:styleId="TOC9">
    <w:name w:val="toc 9"/>
    <w:basedOn w:val="Normal"/>
    <w:next w:val="Normal"/>
    <w:autoRedefine/>
    <w:uiPriority w:val="39"/>
    <w:unhideWhenUsed/>
    <w:rsid w:val="00164A5A"/>
    <w:pPr>
      <w:ind w:left="1920"/>
    </w:pPr>
    <w:rPr>
      <w:rFonts w:asciiTheme="minorHAnsi" w:hAnsiTheme="minorHAnsi"/>
      <w:sz w:val="18"/>
      <w:szCs w:val="18"/>
    </w:rPr>
  </w:style>
  <w:style w:type="paragraph" w:styleId="NormalWeb">
    <w:name w:val="Normal (Web)"/>
    <w:basedOn w:val="Normal"/>
    <w:uiPriority w:val="99"/>
    <w:unhideWhenUsed/>
    <w:rsid w:val="00164A5A"/>
    <w:pPr>
      <w:spacing w:before="100" w:beforeAutospacing="1" w:after="100" w:afterAutospacing="1"/>
    </w:pPr>
    <w:rPr>
      <w:rFonts w:ascii="Times" w:eastAsia="Cambria" w:hAnsi="Times" w:cs="Times New Roman"/>
      <w:color w:val="auto"/>
      <w:sz w:val="20"/>
      <w:szCs w:val="20"/>
      <w:lang w:eastAsia="en-US"/>
    </w:rPr>
  </w:style>
  <w:style w:type="paragraph" w:styleId="Revision">
    <w:name w:val="Revision"/>
    <w:hidden/>
    <w:uiPriority w:val="99"/>
    <w:semiHidden/>
    <w:rsid w:val="00164A5A"/>
    <w:rPr>
      <w:rFonts w:ascii="Cambria" w:eastAsia="Cambria" w:hAnsi="Cambria" w:cs="Cambria"/>
      <w:color w:val="000000"/>
      <w:lang w:eastAsia="en-US"/>
    </w:rPr>
  </w:style>
  <w:style w:type="paragraph" w:customStyle="1" w:styleId="Additionalopportunieis">
    <w:name w:val="Additional opportunieis"/>
    <w:basedOn w:val="Normal2"/>
    <w:rsid w:val="00164A5A"/>
  </w:style>
  <w:style w:type="paragraph" w:customStyle="1" w:styleId="Default">
    <w:name w:val="Default"/>
    <w:rsid w:val="00164A5A"/>
    <w:pPr>
      <w:autoSpaceDE w:val="0"/>
      <w:autoSpaceDN w:val="0"/>
      <w:adjustRightInd w:val="0"/>
    </w:pPr>
    <w:rPr>
      <w:rFonts w:ascii="Calibri" w:eastAsia="Cambria" w:hAnsi="Calibri" w:cs="Calibri"/>
      <w:color w:val="000000"/>
      <w:lang w:eastAsia="en-US"/>
    </w:rPr>
  </w:style>
  <w:style w:type="character" w:customStyle="1" w:styleId="apple-converted-space">
    <w:name w:val="apple-converted-space"/>
    <w:basedOn w:val="DefaultParagraphFont"/>
    <w:rsid w:val="00164A5A"/>
  </w:style>
  <w:style w:type="character" w:customStyle="1" w:styleId="aqj">
    <w:name w:val="aqj"/>
    <w:basedOn w:val="DefaultParagraphFont"/>
    <w:rsid w:val="00164A5A"/>
  </w:style>
  <w:style w:type="table" w:customStyle="1" w:styleId="3">
    <w:name w:val="3"/>
    <w:basedOn w:val="TableNormal"/>
    <w:rsid w:val="00164A5A"/>
    <w:rPr>
      <w:rFonts w:ascii="Cambria" w:eastAsia="Cambria" w:hAnsi="Cambria" w:cs="Cambria"/>
      <w:color w:val="000000"/>
      <w:lang w:eastAsia="en-US"/>
    </w:rPr>
    <w:tblPr>
      <w:tblStyleRowBandSize w:val="1"/>
      <w:tblStyleColBandSize w:val="1"/>
      <w:tblCellMar>
        <w:left w:w="115" w:type="dxa"/>
        <w:right w:w="115" w:type="dxa"/>
      </w:tblCellMar>
    </w:tblPr>
  </w:style>
  <w:style w:type="table" w:customStyle="1" w:styleId="2">
    <w:name w:val="2"/>
    <w:basedOn w:val="TableNormal"/>
    <w:rsid w:val="00164A5A"/>
    <w:rPr>
      <w:rFonts w:ascii="Cambria" w:eastAsia="Cambria" w:hAnsi="Cambria" w:cs="Cambria"/>
      <w:color w:val="000000"/>
      <w:lang w:eastAsia="en-US"/>
    </w:rPr>
    <w:tblPr>
      <w:tblStyleRowBandSize w:val="1"/>
      <w:tblStyleColBandSize w:val="1"/>
      <w:tblCellMar>
        <w:left w:w="115" w:type="dxa"/>
        <w:right w:w="115" w:type="dxa"/>
      </w:tblCellMar>
    </w:tblPr>
  </w:style>
  <w:style w:type="table" w:customStyle="1" w:styleId="1">
    <w:name w:val="1"/>
    <w:basedOn w:val="TableNormal"/>
    <w:rsid w:val="00164A5A"/>
    <w:rPr>
      <w:rFonts w:ascii="Cambria" w:eastAsia="Cambria" w:hAnsi="Cambria" w:cs="Cambria"/>
      <w:color w:val="000000"/>
      <w:lang w:eastAsia="en-US"/>
    </w:rPr>
    <w:tblPr>
      <w:tblStyleRowBandSize w:val="1"/>
      <w:tblStyleColBandSize w:val="1"/>
      <w:tblCellMar>
        <w:left w:w="115" w:type="dxa"/>
        <w:right w:w="115" w:type="dxa"/>
      </w:tblCellMar>
    </w:tblPr>
  </w:style>
  <w:style w:type="paragraph" w:customStyle="1" w:styleId="Normal11">
    <w:name w:val="Normal11"/>
    <w:rsid w:val="00164A5A"/>
    <w:rPr>
      <w:rFonts w:ascii="Cambria" w:eastAsia="Cambria" w:hAnsi="Cambria" w:cs="Cambria"/>
      <w:color w:val="000000"/>
      <w:lang w:eastAsia="en-US"/>
    </w:rPr>
  </w:style>
  <w:style w:type="paragraph" w:styleId="NoSpacing">
    <w:name w:val="No Spacing"/>
    <w:uiPriority w:val="1"/>
    <w:qFormat/>
    <w:rsid w:val="00164A5A"/>
    <w:rPr>
      <w:rFonts w:ascii="Cambria" w:eastAsia="Cambria" w:hAnsi="Cambria" w:cs="Cambria"/>
      <w:color w:val="000000"/>
      <w:lang w:eastAsia="en-US"/>
    </w:rPr>
  </w:style>
  <w:style w:type="character" w:styleId="Emphasis">
    <w:name w:val="Emphasis"/>
    <w:basedOn w:val="DefaultParagraphFont"/>
    <w:uiPriority w:val="20"/>
    <w:qFormat/>
    <w:rsid w:val="00164A5A"/>
    <w:rPr>
      <w:i/>
      <w:iCs/>
    </w:rPr>
  </w:style>
  <w:style w:type="character" w:styleId="Strong">
    <w:name w:val="Strong"/>
    <w:basedOn w:val="DefaultParagraphFont"/>
    <w:uiPriority w:val="22"/>
    <w:qFormat/>
    <w:rsid w:val="00164A5A"/>
    <w:rPr>
      <w:b/>
      <w:bCs/>
    </w:rPr>
  </w:style>
  <w:style w:type="paragraph" w:customStyle="1" w:styleId="normal10">
    <w:name w:val="normal1"/>
    <w:basedOn w:val="Normal"/>
    <w:rsid w:val="00164A5A"/>
    <w:rPr>
      <w:rFonts w:ascii="Times New Roman" w:eastAsiaTheme="minorHAnsi" w:hAnsi="Times New Roman" w:cs="Times New Roman"/>
      <w:color w:val="auto"/>
      <w:lang w:eastAsia="en-US"/>
    </w:rPr>
  </w:style>
  <w:style w:type="paragraph" w:customStyle="1" w:styleId="clear">
    <w:name w:val="clear"/>
    <w:basedOn w:val="Normal2"/>
    <w:rsid w:val="00164A5A"/>
    <w:pPr>
      <w:ind w:left="720"/>
    </w:pPr>
    <w:rPr>
      <w:color w:val="1155CC"/>
      <w:u w:val="single"/>
    </w:rPr>
  </w:style>
  <w:style w:type="paragraph" w:styleId="TableofFigures">
    <w:name w:val="table of figures"/>
    <w:basedOn w:val="Normal"/>
    <w:next w:val="Normal"/>
    <w:uiPriority w:val="99"/>
    <w:unhideWhenUsed/>
    <w:rsid w:val="00224824"/>
    <w:pPr>
      <w:ind w:left="480" w:hanging="480"/>
    </w:pPr>
  </w:style>
  <w:style w:type="paragraph" w:customStyle="1" w:styleId="StrategyName">
    <w:name w:val="StrategyName"/>
    <w:basedOn w:val="6BodyHighlight"/>
    <w:rsid w:val="004C45CB"/>
    <w:rPr>
      <w:color w:val="333333" w:themeColor="background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Text Normal"/>
    <w:rsid w:val="00CC44FA"/>
    <w:rPr>
      <w:rFonts w:ascii="Helvetica Neue" w:hAnsi="Helvetica Neue"/>
      <w:color w:val="525252" w:themeColor="text1" w:themeTint="BF"/>
    </w:rPr>
  </w:style>
  <w:style w:type="paragraph" w:styleId="Heading1">
    <w:name w:val="heading 1"/>
    <w:basedOn w:val="Normal"/>
    <w:next w:val="Normal"/>
    <w:link w:val="Heading1Char"/>
    <w:rsid w:val="00B87601"/>
    <w:pPr>
      <w:keepNext/>
      <w:keepLines/>
      <w:spacing w:before="480"/>
      <w:outlineLvl w:val="0"/>
    </w:pPr>
    <w:rPr>
      <w:rFonts w:asciiTheme="majorHAnsi" w:eastAsiaTheme="majorEastAsia" w:hAnsiTheme="majorHAnsi" w:cstheme="majorBidi"/>
      <w:b/>
      <w:bCs/>
      <w:color w:val="00344B" w:themeColor="accent1" w:themeShade="B5"/>
      <w:sz w:val="32"/>
      <w:szCs w:val="32"/>
    </w:rPr>
  </w:style>
  <w:style w:type="paragraph" w:styleId="Heading2">
    <w:name w:val="heading 2"/>
    <w:basedOn w:val="Normal2"/>
    <w:next w:val="Normal2"/>
    <w:link w:val="Heading2Char"/>
    <w:rsid w:val="00164A5A"/>
    <w:pPr>
      <w:keepNext/>
      <w:keepLines/>
      <w:spacing w:before="200"/>
      <w:outlineLvl w:val="1"/>
    </w:pPr>
    <w:rPr>
      <w:rFonts w:ascii="Calibri" w:eastAsia="Calibri" w:hAnsi="Calibri" w:cs="Calibri"/>
      <w:b/>
      <w:color w:val="4F81BD"/>
      <w:sz w:val="26"/>
      <w:szCs w:val="26"/>
    </w:rPr>
  </w:style>
  <w:style w:type="paragraph" w:styleId="Heading3">
    <w:name w:val="heading 3"/>
    <w:basedOn w:val="Normal"/>
    <w:next w:val="Normal"/>
    <w:link w:val="Heading3Char"/>
    <w:unhideWhenUsed/>
    <w:qFormat/>
    <w:rsid w:val="00164A5A"/>
    <w:pPr>
      <w:keepNext/>
      <w:keepLines/>
      <w:spacing w:before="200"/>
      <w:outlineLvl w:val="2"/>
    </w:pPr>
    <w:rPr>
      <w:rFonts w:asciiTheme="majorHAnsi" w:eastAsiaTheme="majorEastAsia" w:hAnsiTheme="majorHAnsi" w:cstheme="majorBidi"/>
      <w:b/>
      <w:bCs/>
      <w:color w:val="004B6B" w:themeColor="accent1"/>
    </w:rPr>
  </w:style>
  <w:style w:type="paragraph" w:styleId="Heading4">
    <w:name w:val="heading 4"/>
    <w:basedOn w:val="Normal"/>
    <w:next w:val="Normal"/>
    <w:link w:val="Heading4Char"/>
    <w:unhideWhenUsed/>
    <w:qFormat/>
    <w:rsid w:val="00164A5A"/>
    <w:pPr>
      <w:keepNext/>
      <w:keepLines/>
      <w:spacing w:before="200"/>
      <w:outlineLvl w:val="3"/>
    </w:pPr>
    <w:rPr>
      <w:rFonts w:asciiTheme="majorHAnsi" w:eastAsiaTheme="majorEastAsia" w:hAnsiTheme="majorHAnsi" w:cstheme="majorBidi"/>
      <w:b/>
      <w:bCs/>
      <w:i/>
      <w:iCs/>
      <w:color w:val="004B6B" w:themeColor="accent1"/>
    </w:rPr>
  </w:style>
  <w:style w:type="paragraph" w:styleId="Heading5">
    <w:name w:val="heading 5"/>
    <w:basedOn w:val="Normal2"/>
    <w:next w:val="Normal2"/>
    <w:link w:val="Heading5Char"/>
    <w:rsid w:val="00164A5A"/>
    <w:pPr>
      <w:keepNext/>
      <w:keepLines/>
      <w:spacing w:before="200"/>
      <w:outlineLvl w:val="4"/>
    </w:pPr>
    <w:rPr>
      <w:rFonts w:ascii="Calibri" w:eastAsia="Calibri" w:hAnsi="Calibri" w:cs="Calibri"/>
      <w:color w:val="243F61"/>
    </w:rPr>
  </w:style>
  <w:style w:type="paragraph" w:styleId="Heading6">
    <w:name w:val="heading 6"/>
    <w:basedOn w:val="Normal2"/>
    <w:next w:val="Normal2"/>
    <w:link w:val="Heading6Char"/>
    <w:rsid w:val="00164A5A"/>
    <w:pPr>
      <w:keepNext/>
      <w:keepLines/>
      <w:spacing w:before="200"/>
      <w:outlineLvl w:val="5"/>
    </w:pPr>
    <w:rPr>
      <w:rFonts w:ascii="Calibri" w:eastAsia="Calibri" w:hAnsi="Calibri" w:cs="Calibri"/>
      <w:i/>
      <w:color w:val="243F6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MIReport-BodyText">
    <w:name w:val="RMI Report-Body Text"/>
    <w:basedOn w:val="Normal"/>
    <w:autoRedefine/>
    <w:rsid w:val="00E37DDE"/>
  </w:style>
  <w:style w:type="paragraph" w:customStyle="1" w:styleId="ChapterHeadline">
    <w:name w:val="Chapter Headline"/>
    <w:basedOn w:val="Normal"/>
    <w:autoRedefine/>
    <w:rsid w:val="00E37DDE"/>
    <w:rPr>
      <w:rFonts w:ascii="Helvetica Neue UltraLight" w:hAnsi="Helvetica Neue UltraLight"/>
      <w:caps/>
      <w:color w:val="696969" w:themeColor="text1" w:themeTint="A6"/>
      <w:spacing w:val="30"/>
      <w:sz w:val="72"/>
      <w:szCs w:val="72"/>
    </w:rPr>
  </w:style>
  <w:style w:type="paragraph" w:customStyle="1" w:styleId="SectionHeadline">
    <w:name w:val="Section Headline"/>
    <w:basedOn w:val="Normal"/>
    <w:next w:val="Normal"/>
    <w:rsid w:val="00E37DDE"/>
    <w:pPr>
      <w:ind w:left="-720" w:firstLine="720"/>
      <w:jc w:val="both"/>
    </w:pPr>
    <w:rPr>
      <w:rFonts w:ascii="Helvetica Neue Medium" w:hAnsi="Helvetica Neue Medium"/>
      <w:caps/>
      <w:spacing w:val="30"/>
      <w:sz w:val="32"/>
      <w:szCs w:val="32"/>
    </w:rPr>
  </w:style>
  <w:style w:type="paragraph" w:customStyle="1" w:styleId="1MainTitle">
    <w:name w:val="1.Main Title"/>
    <w:basedOn w:val="5BodyText"/>
    <w:next w:val="5BodyText"/>
    <w:autoRedefine/>
    <w:qFormat/>
    <w:rsid w:val="0075374D"/>
    <w:rPr>
      <w:rFonts w:ascii="Helvetica Neue Light" w:hAnsi="Helvetica Neue Light"/>
      <w:caps/>
      <w:color w:val="004B6B" w:themeColor="accent1"/>
      <w:sz w:val="60"/>
      <w:szCs w:val="60"/>
    </w:rPr>
  </w:style>
  <w:style w:type="paragraph" w:customStyle="1" w:styleId="2SubTitle">
    <w:name w:val="2.SubTitle"/>
    <w:basedOn w:val="5BodyText"/>
    <w:next w:val="5BodyText"/>
    <w:autoRedefine/>
    <w:qFormat/>
    <w:rsid w:val="008155D7"/>
    <w:pPr>
      <w:spacing w:before="120"/>
    </w:pPr>
    <w:rPr>
      <w:rFonts w:ascii="Helvetica Neue Medium" w:hAnsi="Helvetica Neue Medium"/>
      <w:caps/>
      <w:sz w:val="28"/>
      <w:szCs w:val="28"/>
    </w:rPr>
  </w:style>
  <w:style w:type="paragraph" w:customStyle="1" w:styleId="3SectionTitle">
    <w:name w:val="3.SectionTitle"/>
    <w:basedOn w:val="5BodyText"/>
    <w:next w:val="5BodyText"/>
    <w:autoRedefine/>
    <w:qFormat/>
    <w:rsid w:val="00875F55"/>
    <w:rPr>
      <w:caps/>
      <w:color w:val="004B6B" w:themeColor="accent1"/>
      <w:sz w:val="24"/>
    </w:rPr>
  </w:style>
  <w:style w:type="paragraph" w:customStyle="1" w:styleId="4Quote">
    <w:name w:val="4.Quote"/>
    <w:basedOn w:val="Normal"/>
    <w:autoRedefine/>
    <w:qFormat/>
    <w:rsid w:val="00A736DF"/>
    <w:rPr>
      <w:rFonts w:ascii="Helvetica Neue Light" w:hAnsi="Helvetica Neue Light"/>
      <w:color w:val="004B6B" w:themeColor="accent1"/>
      <w:sz w:val="28"/>
    </w:rPr>
  </w:style>
  <w:style w:type="paragraph" w:customStyle="1" w:styleId="5BodyText">
    <w:name w:val="5.BodyText"/>
    <w:basedOn w:val="Normal"/>
    <w:qFormat/>
    <w:rsid w:val="00ED21EA"/>
    <w:rPr>
      <w:color w:val="4C4C4C" w:themeColor="text2"/>
      <w:sz w:val="20"/>
    </w:rPr>
  </w:style>
  <w:style w:type="paragraph" w:customStyle="1" w:styleId="6BodyHighlight">
    <w:name w:val="6.BodyHighlight"/>
    <w:basedOn w:val="5BodyText"/>
    <w:next w:val="5BodyText"/>
    <w:qFormat/>
    <w:rsid w:val="006B5088"/>
    <w:rPr>
      <w:rFonts w:ascii="Helvetica Neue Medium" w:hAnsi="Helvetica Neue Medium"/>
      <w:sz w:val="24"/>
    </w:rPr>
  </w:style>
  <w:style w:type="paragraph" w:customStyle="1" w:styleId="7Caption">
    <w:name w:val="7.Caption"/>
    <w:basedOn w:val="5BodyText"/>
    <w:next w:val="5BodyText"/>
    <w:autoRedefine/>
    <w:qFormat/>
    <w:rsid w:val="00070F01"/>
    <w:pPr>
      <w:keepNext/>
      <w:keepLines/>
    </w:pPr>
    <w:rPr>
      <w:caps/>
      <w:color w:val="8B8B8B" w:themeColor="text1" w:themeTint="80"/>
      <w:sz w:val="16"/>
      <w:szCs w:val="16"/>
    </w:rPr>
  </w:style>
  <w:style w:type="paragraph" w:styleId="Header">
    <w:name w:val="header"/>
    <w:basedOn w:val="Normal"/>
    <w:link w:val="HeaderChar"/>
    <w:uiPriority w:val="99"/>
    <w:unhideWhenUsed/>
    <w:rsid w:val="00CC44FA"/>
    <w:pPr>
      <w:tabs>
        <w:tab w:val="center" w:pos="4320"/>
        <w:tab w:val="right" w:pos="8640"/>
      </w:tabs>
    </w:pPr>
  </w:style>
  <w:style w:type="character" w:customStyle="1" w:styleId="HeaderChar">
    <w:name w:val="Header Char"/>
    <w:basedOn w:val="DefaultParagraphFont"/>
    <w:link w:val="Header"/>
    <w:uiPriority w:val="99"/>
    <w:rsid w:val="00CC44FA"/>
    <w:rPr>
      <w:rFonts w:ascii="Helvetica Neue" w:hAnsi="Helvetica Neue"/>
      <w:color w:val="525252" w:themeColor="text1" w:themeTint="BF"/>
      <w:sz w:val="24"/>
      <w:szCs w:val="24"/>
    </w:rPr>
  </w:style>
  <w:style w:type="paragraph" w:styleId="Footer">
    <w:name w:val="footer"/>
    <w:basedOn w:val="Normal"/>
    <w:link w:val="FooterChar"/>
    <w:uiPriority w:val="99"/>
    <w:unhideWhenUsed/>
    <w:rsid w:val="00CC44FA"/>
    <w:pPr>
      <w:tabs>
        <w:tab w:val="center" w:pos="4320"/>
        <w:tab w:val="right" w:pos="8640"/>
      </w:tabs>
    </w:pPr>
  </w:style>
  <w:style w:type="character" w:customStyle="1" w:styleId="FooterChar">
    <w:name w:val="Footer Char"/>
    <w:basedOn w:val="DefaultParagraphFont"/>
    <w:link w:val="Footer"/>
    <w:uiPriority w:val="99"/>
    <w:rsid w:val="00CC44FA"/>
    <w:rPr>
      <w:rFonts w:ascii="Helvetica Neue" w:hAnsi="Helvetica Neue"/>
      <w:color w:val="525252" w:themeColor="text1" w:themeTint="BF"/>
      <w:sz w:val="24"/>
      <w:szCs w:val="24"/>
    </w:rPr>
  </w:style>
  <w:style w:type="paragraph" w:styleId="BalloonText">
    <w:name w:val="Balloon Text"/>
    <w:basedOn w:val="Normal"/>
    <w:link w:val="BalloonTextChar"/>
    <w:uiPriority w:val="99"/>
    <w:semiHidden/>
    <w:unhideWhenUsed/>
    <w:rsid w:val="00A55B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55BFC"/>
    <w:rPr>
      <w:rFonts w:ascii="Lucida Grande" w:hAnsi="Lucida Grande" w:cs="Lucida Grande"/>
      <w:color w:val="525252" w:themeColor="text1" w:themeTint="BF"/>
      <w:sz w:val="18"/>
      <w:szCs w:val="18"/>
    </w:rPr>
  </w:style>
  <w:style w:type="paragraph" w:styleId="CommentText">
    <w:name w:val="annotation text"/>
    <w:basedOn w:val="Normal"/>
    <w:link w:val="CommentTextChar"/>
    <w:uiPriority w:val="99"/>
    <w:unhideWhenUsed/>
    <w:rsid w:val="00B970F2"/>
    <w:rPr>
      <w:rFonts w:ascii="Cambria" w:eastAsia="Cambria" w:hAnsi="Cambria" w:cs="Cambria"/>
      <w:color w:val="000000"/>
      <w:lang w:eastAsia="en-US"/>
    </w:rPr>
  </w:style>
  <w:style w:type="character" w:customStyle="1" w:styleId="CommentTextChar">
    <w:name w:val="Comment Text Char"/>
    <w:basedOn w:val="DefaultParagraphFont"/>
    <w:link w:val="CommentText"/>
    <w:uiPriority w:val="99"/>
    <w:rsid w:val="00B970F2"/>
    <w:rPr>
      <w:rFonts w:ascii="Cambria" w:eastAsia="Cambria" w:hAnsi="Cambria" w:cs="Cambria"/>
      <w:color w:val="000000"/>
      <w:sz w:val="24"/>
      <w:szCs w:val="24"/>
      <w:lang w:eastAsia="en-US"/>
    </w:rPr>
  </w:style>
  <w:style w:type="character" w:styleId="CommentReference">
    <w:name w:val="annotation reference"/>
    <w:basedOn w:val="DefaultParagraphFont"/>
    <w:uiPriority w:val="99"/>
    <w:semiHidden/>
    <w:unhideWhenUsed/>
    <w:rsid w:val="00B970F2"/>
    <w:rPr>
      <w:sz w:val="18"/>
      <w:szCs w:val="18"/>
    </w:rPr>
  </w:style>
  <w:style w:type="paragraph" w:customStyle="1" w:styleId="Normal1">
    <w:name w:val="Normal1"/>
    <w:rsid w:val="00A10E97"/>
    <w:rPr>
      <w:rFonts w:ascii="Cambria" w:eastAsia="Cambria" w:hAnsi="Cambria" w:cs="Cambria"/>
      <w:color w:val="000000"/>
      <w:lang w:eastAsia="en-US"/>
    </w:rPr>
  </w:style>
  <w:style w:type="paragraph" w:styleId="ListParagraph">
    <w:name w:val="List Paragraph"/>
    <w:basedOn w:val="Normal"/>
    <w:uiPriority w:val="34"/>
    <w:qFormat/>
    <w:rsid w:val="00A10E97"/>
    <w:pPr>
      <w:ind w:left="720"/>
      <w:contextualSpacing/>
    </w:pPr>
    <w:rPr>
      <w:rFonts w:ascii="Cambria" w:eastAsia="Cambria" w:hAnsi="Cambria" w:cs="Cambria"/>
      <w:color w:val="000000"/>
      <w:lang w:eastAsia="en-US"/>
    </w:rPr>
  </w:style>
  <w:style w:type="paragraph" w:styleId="FootnoteText">
    <w:name w:val="footnote text"/>
    <w:basedOn w:val="Normal"/>
    <w:link w:val="FootnoteTextChar"/>
    <w:uiPriority w:val="99"/>
    <w:unhideWhenUsed/>
    <w:rsid w:val="00547FA5"/>
    <w:rPr>
      <w:sz w:val="20"/>
      <w:szCs w:val="20"/>
    </w:rPr>
  </w:style>
  <w:style w:type="character" w:customStyle="1" w:styleId="FootnoteTextChar">
    <w:name w:val="Footnote Text Char"/>
    <w:basedOn w:val="DefaultParagraphFont"/>
    <w:link w:val="FootnoteText"/>
    <w:uiPriority w:val="99"/>
    <w:rsid w:val="00547FA5"/>
    <w:rPr>
      <w:rFonts w:ascii="Helvetica Neue" w:hAnsi="Helvetica Neue"/>
      <w:color w:val="525252" w:themeColor="text1" w:themeTint="BF"/>
    </w:rPr>
  </w:style>
  <w:style w:type="character" w:styleId="FootnoteReference">
    <w:name w:val="footnote reference"/>
    <w:basedOn w:val="DefaultParagraphFont"/>
    <w:uiPriority w:val="99"/>
    <w:unhideWhenUsed/>
    <w:rsid w:val="0095400D"/>
    <w:rPr>
      <w:vertAlign w:val="superscript"/>
    </w:rPr>
  </w:style>
  <w:style w:type="character" w:styleId="Hyperlink">
    <w:name w:val="Hyperlink"/>
    <w:basedOn w:val="DefaultParagraphFont"/>
    <w:uiPriority w:val="99"/>
    <w:unhideWhenUsed/>
    <w:rsid w:val="0095400D"/>
    <w:rPr>
      <w:color w:val="262726" w:themeColor="hyperlink"/>
      <w:u w:val="single"/>
    </w:rPr>
  </w:style>
  <w:style w:type="paragraph" w:styleId="EndnoteText">
    <w:name w:val="endnote text"/>
    <w:basedOn w:val="Normal"/>
    <w:link w:val="EndnoteTextChar"/>
    <w:uiPriority w:val="99"/>
    <w:unhideWhenUsed/>
    <w:rsid w:val="00B06860"/>
  </w:style>
  <w:style w:type="character" w:customStyle="1" w:styleId="EndnoteTextChar">
    <w:name w:val="Endnote Text Char"/>
    <w:basedOn w:val="DefaultParagraphFont"/>
    <w:link w:val="EndnoteText"/>
    <w:uiPriority w:val="99"/>
    <w:rsid w:val="00B06860"/>
    <w:rPr>
      <w:rFonts w:ascii="Helvetica Neue" w:hAnsi="Helvetica Neue"/>
      <w:color w:val="525252" w:themeColor="text1" w:themeTint="BF"/>
      <w:sz w:val="24"/>
      <w:szCs w:val="24"/>
    </w:rPr>
  </w:style>
  <w:style w:type="character" w:styleId="EndnoteReference">
    <w:name w:val="endnote reference"/>
    <w:basedOn w:val="DefaultParagraphFont"/>
    <w:uiPriority w:val="99"/>
    <w:unhideWhenUsed/>
    <w:rsid w:val="00B06860"/>
    <w:rPr>
      <w:vertAlign w:val="superscript"/>
    </w:rPr>
  </w:style>
  <w:style w:type="paragraph" w:customStyle="1" w:styleId="Normal2">
    <w:name w:val="Normal2"/>
    <w:rsid w:val="00234576"/>
    <w:rPr>
      <w:rFonts w:ascii="Cambria" w:eastAsia="Cambria" w:hAnsi="Cambria" w:cs="Cambria"/>
      <w:color w:val="000000"/>
      <w:lang w:eastAsia="en-US"/>
    </w:rPr>
  </w:style>
  <w:style w:type="paragraph" w:styleId="Caption">
    <w:name w:val="caption"/>
    <w:basedOn w:val="Normal"/>
    <w:next w:val="Normal"/>
    <w:uiPriority w:val="35"/>
    <w:unhideWhenUsed/>
    <w:qFormat/>
    <w:rsid w:val="002F1E06"/>
    <w:pPr>
      <w:spacing w:after="200"/>
    </w:pPr>
    <w:rPr>
      <w:b/>
      <w:bCs/>
      <w:color w:val="004B6B" w:themeColor="accent1"/>
      <w:sz w:val="18"/>
      <w:szCs w:val="18"/>
    </w:rPr>
  </w:style>
  <w:style w:type="paragraph" w:styleId="CommentSubject">
    <w:name w:val="annotation subject"/>
    <w:basedOn w:val="CommentText"/>
    <w:next w:val="CommentText"/>
    <w:link w:val="CommentSubjectChar"/>
    <w:uiPriority w:val="99"/>
    <w:semiHidden/>
    <w:unhideWhenUsed/>
    <w:rsid w:val="001E35F5"/>
    <w:rPr>
      <w:rFonts w:ascii="Helvetica Neue" w:eastAsiaTheme="minorEastAsia" w:hAnsi="Helvetica Neue" w:cstheme="minorBidi"/>
      <w:b/>
      <w:bCs/>
      <w:color w:val="525252" w:themeColor="text1" w:themeTint="BF"/>
      <w:sz w:val="20"/>
      <w:szCs w:val="20"/>
      <w:lang w:eastAsia="ja-JP"/>
    </w:rPr>
  </w:style>
  <w:style w:type="character" w:customStyle="1" w:styleId="CommentSubjectChar">
    <w:name w:val="Comment Subject Char"/>
    <w:basedOn w:val="CommentTextChar"/>
    <w:link w:val="CommentSubject"/>
    <w:uiPriority w:val="99"/>
    <w:semiHidden/>
    <w:rsid w:val="001E35F5"/>
    <w:rPr>
      <w:rFonts w:ascii="Helvetica Neue" w:eastAsia="Cambria" w:hAnsi="Helvetica Neue" w:cs="Cambria"/>
      <w:b/>
      <w:bCs/>
      <w:color w:val="525252" w:themeColor="text1" w:themeTint="BF"/>
      <w:sz w:val="24"/>
      <w:szCs w:val="24"/>
      <w:lang w:eastAsia="en-US"/>
    </w:rPr>
  </w:style>
  <w:style w:type="character" w:customStyle="1" w:styleId="Heading1Char">
    <w:name w:val="Heading 1 Char"/>
    <w:basedOn w:val="DefaultParagraphFont"/>
    <w:link w:val="Heading1"/>
    <w:rsid w:val="00B87601"/>
    <w:rPr>
      <w:rFonts w:asciiTheme="majorHAnsi" w:eastAsiaTheme="majorEastAsia" w:hAnsiTheme="majorHAnsi" w:cstheme="majorBidi"/>
      <w:b/>
      <w:bCs/>
      <w:color w:val="00344B" w:themeColor="accent1" w:themeShade="B5"/>
      <w:sz w:val="32"/>
      <w:szCs w:val="32"/>
    </w:rPr>
  </w:style>
  <w:style w:type="table" w:styleId="TableGrid">
    <w:name w:val="Table Grid"/>
    <w:basedOn w:val="TableNormal"/>
    <w:uiPriority w:val="59"/>
    <w:rsid w:val="008D404C"/>
    <w:rPr>
      <w:rFonts w:ascii="Cambria" w:eastAsia="Cambria" w:hAnsi="Cambria" w:cs="Cambria"/>
      <w:color w:val="00000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57A86"/>
    <w:rPr>
      <w:color w:val="262726" w:themeColor="followedHyperlink"/>
      <w:u w:val="single"/>
    </w:rPr>
  </w:style>
  <w:style w:type="numbering" w:customStyle="1" w:styleId="Actionlist">
    <w:name w:val="Action list"/>
    <w:uiPriority w:val="99"/>
    <w:rsid w:val="00E01553"/>
    <w:pPr>
      <w:numPr>
        <w:numId w:val="22"/>
      </w:numPr>
    </w:pPr>
  </w:style>
  <w:style w:type="numbering" w:customStyle="1" w:styleId="E2025actionlist">
    <w:name w:val="E2025 action list"/>
    <w:uiPriority w:val="99"/>
    <w:rsid w:val="00E01553"/>
    <w:pPr>
      <w:numPr>
        <w:numId w:val="23"/>
      </w:numPr>
    </w:pPr>
  </w:style>
  <w:style w:type="character" w:customStyle="1" w:styleId="Heading2Char">
    <w:name w:val="Heading 2 Char"/>
    <w:basedOn w:val="DefaultParagraphFont"/>
    <w:link w:val="Heading2"/>
    <w:rsid w:val="00164A5A"/>
    <w:rPr>
      <w:rFonts w:ascii="Calibri" w:eastAsia="Calibri" w:hAnsi="Calibri" w:cs="Calibri"/>
      <w:b/>
      <w:color w:val="4F81BD"/>
      <w:sz w:val="26"/>
      <w:szCs w:val="26"/>
      <w:lang w:eastAsia="en-US"/>
    </w:rPr>
  </w:style>
  <w:style w:type="character" w:customStyle="1" w:styleId="Heading3Char">
    <w:name w:val="Heading 3 Char"/>
    <w:basedOn w:val="DefaultParagraphFont"/>
    <w:link w:val="Heading3"/>
    <w:rsid w:val="00164A5A"/>
    <w:rPr>
      <w:rFonts w:asciiTheme="majorHAnsi" w:eastAsiaTheme="majorEastAsia" w:hAnsiTheme="majorHAnsi" w:cstheme="majorBidi"/>
      <w:b/>
      <w:bCs/>
      <w:color w:val="004B6B" w:themeColor="accent1"/>
      <w:sz w:val="24"/>
      <w:szCs w:val="24"/>
    </w:rPr>
  </w:style>
  <w:style w:type="character" w:customStyle="1" w:styleId="Heading4Char">
    <w:name w:val="Heading 4 Char"/>
    <w:basedOn w:val="DefaultParagraphFont"/>
    <w:link w:val="Heading4"/>
    <w:rsid w:val="00164A5A"/>
    <w:rPr>
      <w:rFonts w:asciiTheme="majorHAnsi" w:eastAsiaTheme="majorEastAsia" w:hAnsiTheme="majorHAnsi" w:cstheme="majorBidi"/>
      <w:b/>
      <w:bCs/>
      <w:i/>
      <w:iCs/>
      <w:color w:val="004B6B" w:themeColor="accent1"/>
      <w:sz w:val="24"/>
      <w:szCs w:val="24"/>
    </w:rPr>
  </w:style>
  <w:style w:type="character" w:customStyle="1" w:styleId="Heading5Char">
    <w:name w:val="Heading 5 Char"/>
    <w:basedOn w:val="DefaultParagraphFont"/>
    <w:link w:val="Heading5"/>
    <w:rsid w:val="00164A5A"/>
    <w:rPr>
      <w:rFonts w:ascii="Calibri" w:eastAsia="Calibri" w:hAnsi="Calibri" w:cs="Calibri"/>
      <w:color w:val="243F61"/>
      <w:sz w:val="24"/>
      <w:szCs w:val="24"/>
      <w:lang w:eastAsia="en-US"/>
    </w:rPr>
  </w:style>
  <w:style w:type="character" w:customStyle="1" w:styleId="Heading6Char">
    <w:name w:val="Heading 6 Char"/>
    <w:basedOn w:val="DefaultParagraphFont"/>
    <w:link w:val="Heading6"/>
    <w:rsid w:val="00164A5A"/>
    <w:rPr>
      <w:rFonts w:ascii="Calibri" w:eastAsia="Calibri" w:hAnsi="Calibri" w:cs="Calibri"/>
      <w:i/>
      <w:color w:val="243F61"/>
      <w:sz w:val="24"/>
      <w:szCs w:val="24"/>
      <w:lang w:eastAsia="en-US"/>
    </w:rPr>
  </w:style>
  <w:style w:type="paragraph" w:styleId="Title">
    <w:name w:val="Title"/>
    <w:basedOn w:val="Normal"/>
    <w:next w:val="Normal"/>
    <w:link w:val="TitleChar"/>
    <w:rsid w:val="00164A5A"/>
    <w:pPr>
      <w:pBdr>
        <w:bottom w:val="single" w:sz="8" w:space="4" w:color="004B6B" w:themeColor="accent1"/>
      </w:pBdr>
      <w:spacing w:after="300"/>
      <w:contextualSpacing/>
    </w:pPr>
    <w:rPr>
      <w:rFonts w:asciiTheme="majorHAnsi" w:eastAsiaTheme="majorEastAsia" w:hAnsiTheme="majorHAnsi" w:cstheme="majorBidi"/>
      <w:color w:val="383838" w:themeColor="text2" w:themeShade="BF"/>
      <w:spacing w:val="5"/>
      <w:kern w:val="28"/>
      <w:sz w:val="52"/>
      <w:szCs w:val="52"/>
    </w:rPr>
  </w:style>
  <w:style w:type="character" w:customStyle="1" w:styleId="TitleChar">
    <w:name w:val="Title Char"/>
    <w:basedOn w:val="DefaultParagraphFont"/>
    <w:link w:val="Title"/>
    <w:rsid w:val="00164A5A"/>
    <w:rPr>
      <w:rFonts w:asciiTheme="majorHAnsi" w:eastAsiaTheme="majorEastAsia" w:hAnsiTheme="majorHAnsi" w:cstheme="majorBidi"/>
      <w:color w:val="383838" w:themeColor="text2" w:themeShade="BF"/>
      <w:spacing w:val="5"/>
      <w:kern w:val="28"/>
      <w:sz w:val="52"/>
      <w:szCs w:val="52"/>
    </w:rPr>
  </w:style>
  <w:style w:type="paragraph" w:styleId="Subtitle">
    <w:name w:val="Subtitle"/>
    <w:basedOn w:val="Normal2"/>
    <w:next w:val="Normal2"/>
    <w:link w:val="SubtitleChar"/>
    <w:rsid w:val="00164A5A"/>
    <w:pPr>
      <w:keepNext/>
      <w:keepLines/>
    </w:pPr>
    <w:rPr>
      <w:rFonts w:ascii="Calibri" w:eastAsia="Calibri" w:hAnsi="Calibri" w:cs="Calibri"/>
      <w:i/>
      <w:color w:val="4F81BD"/>
    </w:rPr>
  </w:style>
  <w:style w:type="character" w:customStyle="1" w:styleId="SubtitleChar">
    <w:name w:val="Subtitle Char"/>
    <w:basedOn w:val="DefaultParagraphFont"/>
    <w:link w:val="Subtitle"/>
    <w:rsid w:val="00164A5A"/>
    <w:rPr>
      <w:rFonts w:ascii="Calibri" w:eastAsia="Calibri" w:hAnsi="Calibri" w:cs="Calibri"/>
      <w:i/>
      <w:color w:val="4F81BD"/>
      <w:sz w:val="24"/>
      <w:szCs w:val="24"/>
      <w:lang w:eastAsia="en-US"/>
    </w:rPr>
  </w:style>
  <w:style w:type="paragraph" w:styleId="TOC1">
    <w:name w:val="toc 1"/>
    <w:basedOn w:val="Normal"/>
    <w:next w:val="Normal"/>
    <w:autoRedefine/>
    <w:uiPriority w:val="39"/>
    <w:unhideWhenUsed/>
    <w:rsid w:val="00164A5A"/>
    <w:pPr>
      <w:spacing w:before="120"/>
    </w:pPr>
    <w:rPr>
      <w:rFonts w:asciiTheme="minorHAnsi" w:hAnsiTheme="minorHAnsi"/>
      <w:b/>
      <w:caps/>
      <w:sz w:val="22"/>
      <w:szCs w:val="22"/>
    </w:rPr>
  </w:style>
  <w:style w:type="paragraph" w:styleId="TOC2">
    <w:name w:val="toc 2"/>
    <w:basedOn w:val="Normal"/>
    <w:next w:val="Normal"/>
    <w:autoRedefine/>
    <w:uiPriority w:val="39"/>
    <w:unhideWhenUsed/>
    <w:rsid w:val="00164A5A"/>
    <w:pPr>
      <w:ind w:left="240"/>
    </w:pPr>
    <w:rPr>
      <w:rFonts w:asciiTheme="minorHAnsi" w:hAnsiTheme="minorHAnsi"/>
      <w:smallCaps/>
      <w:sz w:val="22"/>
      <w:szCs w:val="22"/>
    </w:rPr>
  </w:style>
  <w:style w:type="paragraph" w:styleId="TOC3">
    <w:name w:val="toc 3"/>
    <w:basedOn w:val="Normal"/>
    <w:next w:val="Normal"/>
    <w:autoRedefine/>
    <w:uiPriority w:val="39"/>
    <w:unhideWhenUsed/>
    <w:rsid w:val="00164A5A"/>
    <w:pPr>
      <w:ind w:left="480"/>
    </w:pPr>
    <w:rPr>
      <w:rFonts w:asciiTheme="minorHAnsi" w:hAnsiTheme="minorHAnsi"/>
      <w:i/>
      <w:sz w:val="22"/>
      <w:szCs w:val="22"/>
    </w:rPr>
  </w:style>
  <w:style w:type="paragraph" w:styleId="TOC4">
    <w:name w:val="toc 4"/>
    <w:basedOn w:val="Normal"/>
    <w:next w:val="Normal"/>
    <w:autoRedefine/>
    <w:uiPriority w:val="39"/>
    <w:unhideWhenUsed/>
    <w:rsid w:val="00164A5A"/>
    <w:pPr>
      <w:ind w:left="720"/>
    </w:pPr>
    <w:rPr>
      <w:rFonts w:asciiTheme="minorHAnsi" w:hAnsiTheme="minorHAnsi"/>
      <w:sz w:val="18"/>
      <w:szCs w:val="18"/>
    </w:rPr>
  </w:style>
  <w:style w:type="paragraph" w:styleId="TOC5">
    <w:name w:val="toc 5"/>
    <w:basedOn w:val="Normal"/>
    <w:next w:val="Normal"/>
    <w:autoRedefine/>
    <w:uiPriority w:val="39"/>
    <w:unhideWhenUsed/>
    <w:rsid w:val="00164A5A"/>
    <w:pPr>
      <w:ind w:left="960"/>
    </w:pPr>
    <w:rPr>
      <w:rFonts w:asciiTheme="minorHAnsi" w:hAnsiTheme="minorHAnsi"/>
      <w:sz w:val="18"/>
      <w:szCs w:val="18"/>
    </w:rPr>
  </w:style>
  <w:style w:type="paragraph" w:styleId="TOC6">
    <w:name w:val="toc 6"/>
    <w:basedOn w:val="Normal"/>
    <w:next w:val="Normal"/>
    <w:autoRedefine/>
    <w:uiPriority w:val="39"/>
    <w:unhideWhenUsed/>
    <w:rsid w:val="00164A5A"/>
    <w:pPr>
      <w:ind w:left="1200"/>
    </w:pPr>
    <w:rPr>
      <w:rFonts w:asciiTheme="minorHAnsi" w:hAnsiTheme="minorHAnsi"/>
      <w:sz w:val="18"/>
      <w:szCs w:val="18"/>
    </w:rPr>
  </w:style>
  <w:style w:type="paragraph" w:styleId="TOC7">
    <w:name w:val="toc 7"/>
    <w:basedOn w:val="Normal"/>
    <w:next w:val="Normal"/>
    <w:autoRedefine/>
    <w:uiPriority w:val="39"/>
    <w:unhideWhenUsed/>
    <w:rsid w:val="00164A5A"/>
    <w:pPr>
      <w:ind w:left="1440"/>
    </w:pPr>
    <w:rPr>
      <w:rFonts w:asciiTheme="minorHAnsi" w:hAnsiTheme="minorHAnsi"/>
      <w:sz w:val="18"/>
      <w:szCs w:val="18"/>
    </w:rPr>
  </w:style>
  <w:style w:type="paragraph" w:styleId="TOC8">
    <w:name w:val="toc 8"/>
    <w:basedOn w:val="Normal"/>
    <w:next w:val="Normal"/>
    <w:autoRedefine/>
    <w:uiPriority w:val="39"/>
    <w:unhideWhenUsed/>
    <w:rsid w:val="00164A5A"/>
    <w:pPr>
      <w:ind w:left="1680"/>
    </w:pPr>
    <w:rPr>
      <w:rFonts w:asciiTheme="minorHAnsi" w:hAnsiTheme="minorHAnsi"/>
      <w:sz w:val="18"/>
      <w:szCs w:val="18"/>
    </w:rPr>
  </w:style>
  <w:style w:type="paragraph" w:styleId="TOC9">
    <w:name w:val="toc 9"/>
    <w:basedOn w:val="Normal"/>
    <w:next w:val="Normal"/>
    <w:autoRedefine/>
    <w:uiPriority w:val="39"/>
    <w:unhideWhenUsed/>
    <w:rsid w:val="00164A5A"/>
    <w:pPr>
      <w:ind w:left="1920"/>
    </w:pPr>
    <w:rPr>
      <w:rFonts w:asciiTheme="minorHAnsi" w:hAnsiTheme="minorHAnsi"/>
      <w:sz w:val="18"/>
      <w:szCs w:val="18"/>
    </w:rPr>
  </w:style>
  <w:style w:type="paragraph" w:styleId="NormalWeb">
    <w:name w:val="Normal (Web)"/>
    <w:basedOn w:val="Normal"/>
    <w:uiPriority w:val="99"/>
    <w:unhideWhenUsed/>
    <w:rsid w:val="00164A5A"/>
    <w:pPr>
      <w:spacing w:before="100" w:beforeAutospacing="1" w:after="100" w:afterAutospacing="1"/>
    </w:pPr>
    <w:rPr>
      <w:rFonts w:ascii="Times" w:eastAsia="Cambria" w:hAnsi="Times" w:cs="Times New Roman"/>
      <w:color w:val="auto"/>
      <w:sz w:val="20"/>
      <w:szCs w:val="20"/>
      <w:lang w:eastAsia="en-US"/>
    </w:rPr>
  </w:style>
  <w:style w:type="paragraph" w:styleId="Revision">
    <w:name w:val="Revision"/>
    <w:hidden/>
    <w:uiPriority w:val="99"/>
    <w:semiHidden/>
    <w:rsid w:val="00164A5A"/>
    <w:rPr>
      <w:rFonts w:ascii="Cambria" w:eastAsia="Cambria" w:hAnsi="Cambria" w:cs="Cambria"/>
      <w:color w:val="000000"/>
      <w:lang w:eastAsia="en-US"/>
    </w:rPr>
  </w:style>
  <w:style w:type="paragraph" w:customStyle="1" w:styleId="Additionalopportunieis">
    <w:name w:val="Additional opportunieis"/>
    <w:basedOn w:val="Normal2"/>
    <w:rsid w:val="00164A5A"/>
  </w:style>
  <w:style w:type="paragraph" w:customStyle="1" w:styleId="Default">
    <w:name w:val="Default"/>
    <w:rsid w:val="00164A5A"/>
    <w:pPr>
      <w:autoSpaceDE w:val="0"/>
      <w:autoSpaceDN w:val="0"/>
      <w:adjustRightInd w:val="0"/>
    </w:pPr>
    <w:rPr>
      <w:rFonts w:ascii="Calibri" w:eastAsia="Cambria" w:hAnsi="Calibri" w:cs="Calibri"/>
      <w:color w:val="000000"/>
      <w:lang w:eastAsia="en-US"/>
    </w:rPr>
  </w:style>
  <w:style w:type="character" w:customStyle="1" w:styleId="apple-converted-space">
    <w:name w:val="apple-converted-space"/>
    <w:basedOn w:val="DefaultParagraphFont"/>
    <w:rsid w:val="00164A5A"/>
  </w:style>
  <w:style w:type="character" w:customStyle="1" w:styleId="aqj">
    <w:name w:val="aqj"/>
    <w:basedOn w:val="DefaultParagraphFont"/>
    <w:rsid w:val="00164A5A"/>
  </w:style>
  <w:style w:type="table" w:customStyle="1" w:styleId="3">
    <w:name w:val="3"/>
    <w:basedOn w:val="TableNormal"/>
    <w:rsid w:val="00164A5A"/>
    <w:rPr>
      <w:rFonts w:ascii="Cambria" w:eastAsia="Cambria" w:hAnsi="Cambria" w:cs="Cambria"/>
      <w:color w:val="000000"/>
      <w:lang w:eastAsia="en-US"/>
    </w:rPr>
    <w:tblPr>
      <w:tblStyleRowBandSize w:val="1"/>
      <w:tblStyleColBandSize w:val="1"/>
      <w:tblCellMar>
        <w:left w:w="115" w:type="dxa"/>
        <w:right w:w="115" w:type="dxa"/>
      </w:tblCellMar>
    </w:tblPr>
  </w:style>
  <w:style w:type="table" w:customStyle="1" w:styleId="2">
    <w:name w:val="2"/>
    <w:basedOn w:val="TableNormal"/>
    <w:rsid w:val="00164A5A"/>
    <w:rPr>
      <w:rFonts w:ascii="Cambria" w:eastAsia="Cambria" w:hAnsi="Cambria" w:cs="Cambria"/>
      <w:color w:val="000000"/>
      <w:lang w:eastAsia="en-US"/>
    </w:rPr>
    <w:tblPr>
      <w:tblStyleRowBandSize w:val="1"/>
      <w:tblStyleColBandSize w:val="1"/>
      <w:tblCellMar>
        <w:left w:w="115" w:type="dxa"/>
        <w:right w:w="115" w:type="dxa"/>
      </w:tblCellMar>
    </w:tblPr>
  </w:style>
  <w:style w:type="table" w:customStyle="1" w:styleId="1">
    <w:name w:val="1"/>
    <w:basedOn w:val="TableNormal"/>
    <w:rsid w:val="00164A5A"/>
    <w:rPr>
      <w:rFonts w:ascii="Cambria" w:eastAsia="Cambria" w:hAnsi="Cambria" w:cs="Cambria"/>
      <w:color w:val="000000"/>
      <w:lang w:eastAsia="en-US"/>
    </w:rPr>
    <w:tblPr>
      <w:tblStyleRowBandSize w:val="1"/>
      <w:tblStyleColBandSize w:val="1"/>
      <w:tblCellMar>
        <w:left w:w="115" w:type="dxa"/>
        <w:right w:w="115" w:type="dxa"/>
      </w:tblCellMar>
    </w:tblPr>
  </w:style>
  <w:style w:type="paragraph" w:customStyle="1" w:styleId="Normal11">
    <w:name w:val="Normal11"/>
    <w:rsid w:val="00164A5A"/>
    <w:rPr>
      <w:rFonts w:ascii="Cambria" w:eastAsia="Cambria" w:hAnsi="Cambria" w:cs="Cambria"/>
      <w:color w:val="000000"/>
      <w:lang w:eastAsia="en-US"/>
    </w:rPr>
  </w:style>
  <w:style w:type="paragraph" w:styleId="NoSpacing">
    <w:name w:val="No Spacing"/>
    <w:uiPriority w:val="1"/>
    <w:qFormat/>
    <w:rsid w:val="00164A5A"/>
    <w:rPr>
      <w:rFonts w:ascii="Cambria" w:eastAsia="Cambria" w:hAnsi="Cambria" w:cs="Cambria"/>
      <w:color w:val="000000"/>
      <w:lang w:eastAsia="en-US"/>
    </w:rPr>
  </w:style>
  <w:style w:type="character" w:styleId="Emphasis">
    <w:name w:val="Emphasis"/>
    <w:basedOn w:val="DefaultParagraphFont"/>
    <w:uiPriority w:val="20"/>
    <w:qFormat/>
    <w:rsid w:val="00164A5A"/>
    <w:rPr>
      <w:i/>
      <w:iCs/>
    </w:rPr>
  </w:style>
  <w:style w:type="character" w:styleId="Strong">
    <w:name w:val="Strong"/>
    <w:basedOn w:val="DefaultParagraphFont"/>
    <w:uiPriority w:val="22"/>
    <w:qFormat/>
    <w:rsid w:val="00164A5A"/>
    <w:rPr>
      <w:b/>
      <w:bCs/>
    </w:rPr>
  </w:style>
  <w:style w:type="paragraph" w:customStyle="1" w:styleId="normal10">
    <w:name w:val="normal1"/>
    <w:basedOn w:val="Normal"/>
    <w:rsid w:val="00164A5A"/>
    <w:rPr>
      <w:rFonts w:ascii="Times New Roman" w:eastAsiaTheme="minorHAnsi" w:hAnsi="Times New Roman" w:cs="Times New Roman"/>
      <w:color w:val="auto"/>
      <w:lang w:eastAsia="en-US"/>
    </w:rPr>
  </w:style>
  <w:style w:type="paragraph" w:customStyle="1" w:styleId="clear">
    <w:name w:val="clear"/>
    <w:basedOn w:val="Normal2"/>
    <w:rsid w:val="00164A5A"/>
    <w:pPr>
      <w:ind w:left="720"/>
    </w:pPr>
    <w:rPr>
      <w:color w:val="1155CC"/>
      <w:u w:val="single"/>
    </w:rPr>
  </w:style>
  <w:style w:type="paragraph" w:styleId="TableofFigures">
    <w:name w:val="table of figures"/>
    <w:basedOn w:val="Normal"/>
    <w:next w:val="Normal"/>
    <w:uiPriority w:val="99"/>
    <w:unhideWhenUsed/>
    <w:rsid w:val="00224824"/>
    <w:pPr>
      <w:ind w:left="480" w:hanging="480"/>
    </w:pPr>
  </w:style>
  <w:style w:type="paragraph" w:customStyle="1" w:styleId="StrategyName">
    <w:name w:val="StrategyName"/>
    <w:basedOn w:val="6BodyHighlight"/>
    <w:rsid w:val="004C45CB"/>
    <w:rPr>
      <w:color w:val="333333"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0715">
      <w:bodyDiv w:val="1"/>
      <w:marLeft w:val="0"/>
      <w:marRight w:val="0"/>
      <w:marTop w:val="0"/>
      <w:marBottom w:val="0"/>
      <w:divBdr>
        <w:top w:val="none" w:sz="0" w:space="0" w:color="auto"/>
        <w:left w:val="none" w:sz="0" w:space="0" w:color="auto"/>
        <w:bottom w:val="none" w:sz="0" w:space="0" w:color="auto"/>
        <w:right w:val="none" w:sz="0" w:space="0" w:color="auto"/>
      </w:divBdr>
    </w:div>
    <w:div w:id="205026978">
      <w:bodyDiv w:val="1"/>
      <w:marLeft w:val="0"/>
      <w:marRight w:val="0"/>
      <w:marTop w:val="0"/>
      <w:marBottom w:val="0"/>
      <w:divBdr>
        <w:top w:val="none" w:sz="0" w:space="0" w:color="auto"/>
        <w:left w:val="none" w:sz="0" w:space="0" w:color="auto"/>
        <w:bottom w:val="none" w:sz="0" w:space="0" w:color="auto"/>
        <w:right w:val="none" w:sz="0" w:space="0" w:color="auto"/>
      </w:divBdr>
    </w:div>
    <w:div w:id="283075629">
      <w:bodyDiv w:val="1"/>
      <w:marLeft w:val="0"/>
      <w:marRight w:val="0"/>
      <w:marTop w:val="0"/>
      <w:marBottom w:val="0"/>
      <w:divBdr>
        <w:top w:val="none" w:sz="0" w:space="0" w:color="auto"/>
        <w:left w:val="none" w:sz="0" w:space="0" w:color="auto"/>
        <w:bottom w:val="none" w:sz="0" w:space="0" w:color="auto"/>
        <w:right w:val="none" w:sz="0" w:space="0" w:color="auto"/>
      </w:divBdr>
    </w:div>
    <w:div w:id="288322056">
      <w:bodyDiv w:val="1"/>
      <w:marLeft w:val="0"/>
      <w:marRight w:val="0"/>
      <w:marTop w:val="0"/>
      <w:marBottom w:val="0"/>
      <w:divBdr>
        <w:top w:val="none" w:sz="0" w:space="0" w:color="auto"/>
        <w:left w:val="none" w:sz="0" w:space="0" w:color="auto"/>
        <w:bottom w:val="none" w:sz="0" w:space="0" w:color="auto"/>
        <w:right w:val="none" w:sz="0" w:space="0" w:color="auto"/>
      </w:divBdr>
    </w:div>
    <w:div w:id="616569319">
      <w:bodyDiv w:val="1"/>
      <w:marLeft w:val="0"/>
      <w:marRight w:val="0"/>
      <w:marTop w:val="0"/>
      <w:marBottom w:val="0"/>
      <w:divBdr>
        <w:top w:val="none" w:sz="0" w:space="0" w:color="auto"/>
        <w:left w:val="none" w:sz="0" w:space="0" w:color="auto"/>
        <w:bottom w:val="none" w:sz="0" w:space="0" w:color="auto"/>
        <w:right w:val="none" w:sz="0" w:space="0" w:color="auto"/>
      </w:divBdr>
    </w:div>
    <w:div w:id="956525038">
      <w:bodyDiv w:val="1"/>
      <w:marLeft w:val="0"/>
      <w:marRight w:val="0"/>
      <w:marTop w:val="0"/>
      <w:marBottom w:val="0"/>
      <w:divBdr>
        <w:top w:val="none" w:sz="0" w:space="0" w:color="auto"/>
        <w:left w:val="none" w:sz="0" w:space="0" w:color="auto"/>
        <w:bottom w:val="none" w:sz="0" w:space="0" w:color="auto"/>
        <w:right w:val="none" w:sz="0" w:space="0" w:color="auto"/>
      </w:divBdr>
    </w:div>
    <w:div w:id="1018459852">
      <w:bodyDiv w:val="1"/>
      <w:marLeft w:val="0"/>
      <w:marRight w:val="0"/>
      <w:marTop w:val="0"/>
      <w:marBottom w:val="0"/>
      <w:divBdr>
        <w:top w:val="none" w:sz="0" w:space="0" w:color="auto"/>
        <w:left w:val="none" w:sz="0" w:space="0" w:color="auto"/>
        <w:bottom w:val="none" w:sz="0" w:space="0" w:color="auto"/>
        <w:right w:val="none" w:sz="0" w:space="0" w:color="auto"/>
      </w:divBdr>
    </w:div>
    <w:div w:id="1222209327">
      <w:bodyDiv w:val="1"/>
      <w:marLeft w:val="0"/>
      <w:marRight w:val="0"/>
      <w:marTop w:val="0"/>
      <w:marBottom w:val="0"/>
      <w:divBdr>
        <w:top w:val="none" w:sz="0" w:space="0" w:color="auto"/>
        <w:left w:val="none" w:sz="0" w:space="0" w:color="auto"/>
        <w:bottom w:val="none" w:sz="0" w:space="0" w:color="auto"/>
        <w:right w:val="none" w:sz="0" w:space="0" w:color="auto"/>
      </w:divBdr>
    </w:div>
    <w:div w:id="1237982798">
      <w:bodyDiv w:val="1"/>
      <w:marLeft w:val="0"/>
      <w:marRight w:val="0"/>
      <w:marTop w:val="0"/>
      <w:marBottom w:val="0"/>
      <w:divBdr>
        <w:top w:val="none" w:sz="0" w:space="0" w:color="auto"/>
        <w:left w:val="none" w:sz="0" w:space="0" w:color="auto"/>
        <w:bottom w:val="none" w:sz="0" w:space="0" w:color="auto"/>
        <w:right w:val="none" w:sz="0" w:space="0" w:color="auto"/>
      </w:divBdr>
    </w:div>
    <w:div w:id="1515800499">
      <w:bodyDiv w:val="1"/>
      <w:marLeft w:val="0"/>
      <w:marRight w:val="0"/>
      <w:marTop w:val="0"/>
      <w:marBottom w:val="0"/>
      <w:divBdr>
        <w:top w:val="none" w:sz="0" w:space="0" w:color="auto"/>
        <w:left w:val="none" w:sz="0" w:space="0" w:color="auto"/>
        <w:bottom w:val="none" w:sz="0" w:space="0" w:color="auto"/>
        <w:right w:val="none" w:sz="0" w:space="0" w:color="auto"/>
      </w:divBdr>
    </w:div>
    <w:div w:id="1647588801">
      <w:bodyDiv w:val="1"/>
      <w:marLeft w:val="0"/>
      <w:marRight w:val="0"/>
      <w:marTop w:val="0"/>
      <w:marBottom w:val="0"/>
      <w:divBdr>
        <w:top w:val="none" w:sz="0" w:space="0" w:color="auto"/>
        <w:left w:val="none" w:sz="0" w:space="0" w:color="auto"/>
        <w:bottom w:val="none" w:sz="0" w:space="0" w:color="auto"/>
        <w:right w:val="none" w:sz="0" w:space="0" w:color="auto"/>
      </w:divBdr>
    </w:div>
    <w:div w:id="1683704051">
      <w:bodyDiv w:val="1"/>
      <w:marLeft w:val="0"/>
      <w:marRight w:val="0"/>
      <w:marTop w:val="0"/>
      <w:marBottom w:val="0"/>
      <w:divBdr>
        <w:top w:val="none" w:sz="0" w:space="0" w:color="auto"/>
        <w:left w:val="none" w:sz="0" w:space="0" w:color="auto"/>
        <w:bottom w:val="none" w:sz="0" w:space="0" w:color="auto"/>
        <w:right w:val="none" w:sz="0" w:space="0" w:color="auto"/>
      </w:divBdr>
    </w:div>
    <w:div w:id="1696611714">
      <w:bodyDiv w:val="1"/>
      <w:marLeft w:val="0"/>
      <w:marRight w:val="0"/>
      <w:marTop w:val="0"/>
      <w:marBottom w:val="0"/>
      <w:divBdr>
        <w:top w:val="none" w:sz="0" w:space="0" w:color="auto"/>
        <w:left w:val="none" w:sz="0" w:space="0" w:color="auto"/>
        <w:bottom w:val="none" w:sz="0" w:space="0" w:color="auto"/>
        <w:right w:val="none" w:sz="0" w:space="0" w:color="auto"/>
      </w:divBdr>
    </w:div>
    <w:div w:id="1755130638">
      <w:bodyDiv w:val="1"/>
      <w:marLeft w:val="0"/>
      <w:marRight w:val="0"/>
      <w:marTop w:val="0"/>
      <w:marBottom w:val="0"/>
      <w:divBdr>
        <w:top w:val="none" w:sz="0" w:space="0" w:color="auto"/>
        <w:left w:val="none" w:sz="0" w:space="0" w:color="auto"/>
        <w:bottom w:val="none" w:sz="0" w:space="0" w:color="auto"/>
        <w:right w:val="none" w:sz="0" w:space="0" w:color="auto"/>
      </w:divBdr>
    </w:div>
    <w:div w:id="21423368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n.gov/commerce-stat/pdfs/legislative-rpt-card-certs-2016.pdf" TargetMode="External"/><Relationship Id="rId21" Type="http://schemas.openxmlformats.org/officeDocument/2006/relationships/header" Target="header3.xml"/><Relationship Id="rId42" Type="http://schemas.openxmlformats.org/officeDocument/2006/relationships/hyperlink" Target="http://www.driveelectricmn.org/zecc/" TargetMode="External"/><Relationship Id="rId63" Type="http://schemas.openxmlformats.org/officeDocument/2006/relationships/hyperlink" Target="https://www.smartgrid.gov/" TargetMode="External"/><Relationship Id="rId84" Type="http://schemas.openxmlformats.org/officeDocument/2006/relationships/hyperlink" Target="http://energytransition.umn.edu/wp-content/uploads/2015/08/Energy-Storage-101.pdf" TargetMode="External"/><Relationship Id="rId138" Type="http://schemas.openxmlformats.org/officeDocument/2006/relationships/hyperlink" Target="https://www.edockets.state.mn.us/EFiling/edockets/searchDocuments.do?method=showPoup&amp;documentId=%7B20B55EFE-85CD-4A4A-9AEA-7DA781BA691A%7D&amp;documentTitle=20131-82520-01" TargetMode="External"/><Relationship Id="rId159" Type="http://schemas.openxmlformats.org/officeDocument/2006/relationships/hyperlink" Target="http://www.xcelenergy.com/Community/Community_Projects/Partners_In_Energy_Community_Programs" TargetMode="External"/><Relationship Id="rId170" Type="http://schemas.openxmlformats.org/officeDocument/2006/relationships/hyperlink" Target="http://www.districtenergyinitiative.org/" TargetMode="External"/><Relationship Id="rId191" Type="http://schemas.openxmlformats.org/officeDocument/2006/relationships/hyperlink" Target="https://www4.eere.energy.gov/seeaction/publication/guide-successful-implementation-state-combined-heat-and-power-policies" TargetMode="External"/><Relationship Id="rId205" Type="http://schemas.openxmlformats.org/officeDocument/2006/relationships/hyperlink" Target="http://www.betterenergy.org/sites/www.betterenergy.org/files/Summary_BioeconomyProductionIncentive.pdf" TargetMode="External"/><Relationship Id="rId226" Type="http://schemas.openxmlformats.org/officeDocument/2006/relationships/hyperlink" Target="http://www.mncee.org/Innovation-Exchange/ie/February-2016/CEE-and-the-Conservation-Improvement-Program-2015/?feed=blogfeed" TargetMode="External"/><Relationship Id="rId247" Type="http://schemas.openxmlformats.org/officeDocument/2006/relationships/hyperlink" Target="http://www.xcelenergy.com/Partners/Municipalities/Community_Energy_Reports" TargetMode="External"/><Relationship Id="rId107" Type="http://schemas.openxmlformats.org/officeDocument/2006/relationships/hyperlink" Target="http://www.lec.leg.mn/projects/2025/102815Video.wmv" TargetMode="External"/><Relationship Id="rId268" Type="http://schemas.openxmlformats.org/officeDocument/2006/relationships/hyperlink" Target="http://www.growsolar.org/technical-assistance/" TargetMode="External"/><Relationship Id="rId11" Type="http://schemas.openxmlformats.org/officeDocument/2006/relationships/hyperlink" Target="https://www.revisor.mn.gov/statutes/?id=216H.02" TargetMode="External"/><Relationship Id="rId32" Type="http://schemas.openxmlformats.org/officeDocument/2006/relationships/image" Target="media/image7.emf"/><Relationship Id="rId53" Type="http://schemas.openxmlformats.org/officeDocument/2006/relationships/hyperlink" Target="http://www.metrotransit.org/metro-transit-putting-electric-buses-to-the-test" TargetMode="External"/><Relationship Id="rId74" Type="http://schemas.openxmlformats.org/officeDocument/2006/relationships/hyperlink" Target="http://greatriverenergy.com/wp-content/uploads/2016/03/Solar-fact-sheet-2016.pdf" TargetMode="External"/><Relationship Id="rId128" Type="http://schemas.openxmlformats.org/officeDocument/2006/relationships/hyperlink" Target="http://mymeter.co/" TargetMode="External"/><Relationship Id="rId149" Type="http://schemas.openxmlformats.org/officeDocument/2006/relationships/hyperlink" Target="http://www.b3mn.org/operations/" TargetMode="External"/><Relationship Id="rId5" Type="http://schemas.openxmlformats.org/officeDocument/2006/relationships/settings" Target="settings.xml"/><Relationship Id="rId95" Type="http://schemas.openxmlformats.org/officeDocument/2006/relationships/hyperlink" Target="http://cleantechnica.com/2016/02/01/us-supreme-court-upholds-ferc-order-745-in-favor-of-demand-response/" TargetMode="External"/><Relationship Id="rId160" Type="http://schemas.openxmlformats.org/officeDocument/2006/relationships/hyperlink" Target="https://www.seek.state.mn.us/resource/schools-energy-efficiency-see-program" TargetMode="External"/><Relationship Id="rId181" Type="http://schemas.openxmlformats.org/officeDocument/2006/relationships/hyperlink" Target="http://energy.gov/eere/amo/downloads/chp-enabling-resilient-energy-infrastructure-critical-facilities-report-march" TargetMode="External"/><Relationship Id="rId216" Type="http://schemas.openxmlformats.org/officeDocument/2006/relationships/hyperlink" Target="http://energy.gov/eere/amo/industrial-assessment-centers-iacs" TargetMode="External"/><Relationship Id="rId237" Type="http://schemas.openxmlformats.org/officeDocument/2006/relationships/hyperlink" Target="http://www.environmental-initiative.org/our-work/sustainability" TargetMode="External"/><Relationship Id="rId258" Type="http://schemas.openxmlformats.org/officeDocument/2006/relationships/hyperlink" Target="http://fresh-energy.org/2015/09/solar-for-all-bringing-solar-options-to-all-minnesotans/" TargetMode="External"/><Relationship Id="rId22" Type="http://schemas.openxmlformats.org/officeDocument/2006/relationships/chart" Target="charts/chart1.xml"/><Relationship Id="rId43" Type="http://schemas.openxmlformats.org/officeDocument/2006/relationships/hyperlink" Target="http://www.afdc.energy.gov/fuels/electricity_locations.html" TargetMode="External"/><Relationship Id="rId64" Type="http://schemas.openxmlformats.org/officeDocument/2006/relationships/hyperlink" Target="https://www.smartgrid.gov/" TargetMode="External"/><Relationship Id="rId118" Type="http://schemas.openxmlformats.org/officeDocument/2006/relationships/hyperlink" Target="http://www.b3mn.org/" TargetMode="External"/><Relationship Id="rId139" Type="http://schemas.openxmlformats.org/officeDocument/2006/relationships/hyperlink" Target="http://database.aceee.org/city/energy-data-access" TargetMode="External"/><Relationship Id="rId85" Type="http://schemas.openxmlformats.org/officeDocument/2006/relationships/hyperlink" Target="http://energytransition.umn.edu/energy-storage-summit-videos-and-presentations/" TargetMode="External"/><Relationship Id="rId150" Type="http://schemas.openxmlformats.org/officeDocument/2006/relationships/hyperlink" Target="https://mn.gov/commerce/industries/energy/technical-assistance/" TargetMode="External"/><Relationship Id="rId171" Type="http://schemas.openxmlformats.org/officeDocument/2006/relationships/hyperlink" Target="http://www.ever-greenenergy.com/operations/duluth-steam/" TargetMode="External"/><Relationship Id="rId192" Type="http://schemas.openxmlformats.org/officeDocument/2006/relationships/hyperlink" Target="https://doe.icfwebservices.com/chpdb/" TargetMode="External"/><Relationship Id="rId206" Type="http://schemas.openxmlformats.org/officeDocument/2006/relationships/hyperlink" Target="http://www.mda.state.mn.us/grants/agri.aspx" TargetMode="External"/><Relationship Id="rId227" Type="http://schemas.openxmlformats.org/officeDocument/2006/relationships/hyperlink" Target="http://www.enterpriseminnesota.org/" TargetMode="External"/><Relationship Id="rId248" Type="http://schemas.openxmlformats.org/officeDocument/2006/relationships/hyperlink" Target="http://www.xcelenergy.com/Community/Community_Projects/Partners_In_Energy_Community_Programs" TargetMode="External"/><Relationship Id="rId269" Type="http://schemas.openxmlformats.org/officeDocument/2006/relationships/hyperlink" Target="http://www.dli.mn.gov/CCLD/ElectricalSolar.asp" TargetMode="External"/><Relationship Id="rId12" Type="http://schemas.openxmlformats.org/officeDocument/2006/relationships/hyperlink" Target="https://www.revisor.mn.gov/statutes?id=216B.1691" TargetMode="External"/><Relationship Id="rId33" Type="http://schemas.openxmlformats.org/officeDocument/2006/relationships/image" Target="media/image8.emf"/><Relationship Id="rId108" Type="http://schemas.openxmlformats.org/officeDocument/2006/relationships/hyperlink" Target="http://www.lec.leg.mn/projects/2025/102815WebinarSlides.pdf" TargetMode="External"/><Relationship Id="rId129" Type="http://schemas.openxmlformats.org/officeDocument/2006/relationships/hyperlink" Target="http://papers.ssrn.com/sol3/papers.cfm?abstract_id=2602974" TargetMode="External"/><Relationship Id="rId54" Type="http://schemas.openxmlformats.org/officeDocument/2006/relationships/hyperlink" Target="http://www.scpr.org/news/2016/02/12/57476/antelope-valley-to-get-all-electric-bus-fleet-offi/" TargetMode="External"/><Relationship Id="rId75" Type="http://schemas.openxmlformats.org/officeDocument/2006/relationships/hyperlink" Target="http://greatriverenergy.com/we-use-energy-wisely/energy-efficiency/smart-energy-use/" TargetMode="External"/><Relationship Id="rId96" Type="http://schemas.openxmlformats.org/officeDocument/2006/relationships/hyperlink" Target="http://www.rmi.org/Content/Files/RMI-TheEconomicsOfBatteryEnergyStorage-FullReport-FINAL.pdf" TargetMode="External"/><Relationship Id="rId140" Type="http://schemas.openxmlformats.org/officeDocument/2006/relationships/hyperlink" Target="http://www1.eere.energy.gov/buildings/betterbuildings/accelerators/energy.html" TargetMode="External"/><Relationship Id="rId161" Type="http://schemas.openxmlformats.org/officeDocument/2006/relationships/hyperlink" Target="http://mnenergystarchallenge.com/" TargetMode="External"/><Relationship Id="rId182" Type="http://schemas.openxmlformats.org/officeDocument/2006/relationships/hyperlink" Target="http://energy.gov/eere/amo/downloads/chp-enabling-resilient-energy-infrastructure-critical-facilities-report-march" TargetMode="External"/><Relationship Id="rId217" Type="http://schemas.openxmlformats.org/officeDocument/2006/relationships/hyperlink" Target="http://www.rd.usda.gov/programs-services/rural-energy-america-program-renewable-energy-systems-energy-efficiency" TargetMode="External"/><Relationship Id="rId6" Type="http://schemas.openxmlformats.org/officeDocument/2006/relationships/webSettings" Target="webSettings.xml"/><Relationship Id="rId238" Type="http://schemas.openxmlformats.org/officeDocument/2006/relationships/hyperlink" Target="http://www.iipnetwork.org/" TargetMode="External"/><Relationship Id="rId259" Type="http://schemas.openxmlformats.org/officeDocument/2006/relationships/hyperlink" Target="https://mn.gov/commerce/industries/energy/technical-assistance/" TargetMode="External"/><Relationship Id="rId23" Type="http://schemas.openxmlformats.org/officeDocument/2006/relationships/chart" Target="charts/chart2.xml"/><Relationship Id="rId119" Type="http://schemas.openxmlformats.org/officeDocument/2006/relationships/hyperlink" Target="http://www.greenbuttondata.org/" TargetMode="External"/><Relationship Id="rId270" Type="http://schemas.openxmlformats.org/officeDocument/2006/relationships/hyperlink" Target="http://www.solarroadmap.com/about/" TargetMode="External"/><Relationship Id="rId44" Type="http://schemas.openxmlformats.org/officeDocument/2006/relationships/hyperlink" Target="http://blog.rmi.org/blog_2015_10_29_what_electric_vehicles_can_learn_from_the_solar_market" TargetMode="External"/><Relationship Id="rId65" Type="http://schemas.openxmlformats.org/officeDocument/2006/relationships/hyperlink" Target="https://www.smartgrid.gov/recovery_act/overview/consumer_behavior_studies.html" TargetMode="External"/><Relationship Id="rId86" Type="http://schemas.openxmlformats.org/officeDocument/2006/relationships/hyperlink" Target="http://www.lccmr.leg.mn/proposals/2016/original/144-e.pdf" TargetMode="External"/><Relationship Id="rId130" Type="http://schemas.openxmlformats.org/officeDocument/2006/relationships/hyperlink" Target="https://www.cards.commerce.state.mn.us/CARDS/security/search.do?method=showPoup&amp;documentId=%7b20FCCD12-7BD9-4055-B01E-6898CD7C9CD3%7d&amp;documentTitle=148413&amp;documentType=6" TargetMode="External"/><Relationship Id="rId151" Type="http://schemas.openxmlformats.org/officeDocument/2006/relationships/hyperlink" Target="https://mn.gov/commerce/industries/energy/technical-assistance/" TargetMode="External"/><Relationship Id="rId172" Type="http://schemas.openxmlformats.org/officeDocument/2006/relationships/hyperlink" Target="http://dmc.mn/" TargetMode="External"/><Relationship Id="rId193" Type="http://schemas.openxmlformats.org/officeDocument/2006/relationships/hyperlink" Target="http://mn.gov/deed/business/help/first-stop/" TargetMode="External"/><Relationship Id="rId202" Type="http://schemas.openxmlformats.org/officeDocument/2006/relationships/hyperlink" Target="http://www.natureworksllc.com/" TargetMode="External"/><Relationship Id="rId207" Type="http://schemas.openxmlformats.org/officeDocument/2006/relationships/hyperlink" Target="http://mn.gov/irrrb" TargetMode="External"/><Relationship Id="rId223" Type="http://schemas.openxmlformats.org/officeDocument/2006/relationships/hyperlink" Target="http://www.cleanenergyresourceteams.org/" TargetMode="External"/><Relationship Id="rId228" Type="http://schemas.openxmlformats.org/officeDocument/2006/relationships/hyperlink" Target="http://sppa.com/financing-businesses/" TargetMode="External"/><Relationship Id="rId244" Type="http://schemas.openxmlformats.org/officeDocument/2006/relationships/hyperlink" Target="http://www.regionalindicatorsmn.com" TargetMode="External"/><Relationship Id="rId249" Type="http://schemas.openxmlformats.org/officeDocument/2006/relationships/hyperlink" Target="https://www.edockets.state.mn.us/EFiling/edockets/searchDocuments.do?method=showPoup&amp;documentId=%7B20B55EFE-85CD-4A4A-9AEA-7DA781BA691A%7D&amp;documentTitle=20131-82520-01" TargetMode="External"/><Relationship Id="rId13" Type="http://schemas.openxmlformats.org/officeDocument/2006/relationships/hyperlink" Target="https://www.revisor.mn.gov/statutes?id=216B.1691" TargetMode="External"/><Relationship Id="rId18" Type="http://schemas.openxmlformats.org/officeDocument/2006/relationships/header" Target="header2.xml"/><Relationship Id="rId39" Type="http://schemas.openxmlformats.org/officeDocument/2006/relationships/hyperlink" Target="http://www.dakotaelectric.com/residential/programs/electric-vehicles" TargetMode="External"/><Relationship Id="rId109" Type="http://schemas.openxmlformats.org/officeDocument/2006/relationships/hyperlink" Target="https://www.wri.org/sites/default/files/green_tarriffs_us_electricity_markets_0715.pdf" TargetMode="External"/><Relationship Id="rId260" Type="http://schemas.openxmlformats.org/officeDocument/2006/relationships/hyperlink" Target="https://mn.gov/commerce/industries/energy/technical-assistance/" TargetMode="External"/><Relationship Id="rId265" Type="http://schemas.openxmlformats.org/officeDocument/2006/relationships/hyperlink" Target="https://mn.gov/commerce/industries/energy/financial-assistance/" TargetMode="External"/><Relationship Id="rId34" Type="http://schemas.openxmlformats.org/officeDocument/2006/relationships/hyperlink" Target="http://www.driveelectricmn.org/" TargetMode="External"/><Relationship Id="rId50" Type="http://schemas.openxmlformats.org/officeDocument/2006/relationships/hyperlink" Target="http://www.eei.org/issuesandpolicy/electrictransportation/fleetvehicles/documents/eei_utilityfleetsleadingthecharge.pdf" TargetMode="External"/><Relationship Id="rId55" Type="http://schemas.openxmlformats.org/officeDocument/2006/relationships/hyperlink" Target="http://insideevs.com/chicago-transit-authority-adding-electric-buses/" TargetMode="External"/><Relationship Id="rId76" Type="http://schemas.openxmlformats.org/officeDocument/2006/relationships/hyperlink" Target="http://greatriverenergy.com/great-river-energy-helps-to-launch-community-storage-initiative/" TargetMode="External"/><Relationship Id="rId97" Type="http://schemas.openxmlformats.org/officeDocument/2006/relationships/hyperlink" Target="http://mncee.org/Innovation-Exchange/ie/February/Customer-Choice-in-the-Form-of-Energy-Price-Signal/" TargetMode="External"/><Relationship Id="rId104" Type="http://schemas.openxmlformats.org/officeDocument/2006/relationships/hyperlink" Target="http://apps3.eere.energy.gov/greenpower/buying/buying_power.shtml?state=MN" TargetMode="External"/><Relationship Id="rId120" Type="http://schemas.openxmlformats.org/officeDocument/2006/relationships/hyperlink" Target="http://www.greenbuttondata.org/" TargetMode="External"/><Relationship Id="rId125" Type="http://schemas.openxmlformats.org/officeDocument/2006/relationships/hyperlink" Target="https://www.edockets.state.mn.us/EFiling/edockets/searchDocuments.do?method=showPoup&amp;documentId=%7B06E46F50-73D0-4323-BBE4-3444BB4CE133%7D&amp;documentTitle=201510-114859-01" TargetMode="External"/><Relationship Id="rId141" Type="http://schemas.openxmlformats.org/officeDocument/2006/relationships/hyperlink" Target="https://www.edockets.state.mn.us/EFiling/edockets/searchDocuments.do?method=showPoup&amp;documentId=%7B06E46F50-73D0-4323-BBE4-3444BB4CE133%7D&amp;documentTitle=201510-114859-01" TargetMode="External"/><Relationship Id="rId146" Type="http://schemas.openxmlformats.org/officeDocument/2006/relationships/hyperlink" Target="https://www.ashrae.org/education--certification" TargetMode="External"/><Relationship Id="rId167" Type="http://schemas.openxmlformats.org/officeDocument/2006/relationships/hyperlink" Target="http://www.toolsofchange.com/en/home/" TargetMode="External"/><Relationship Id="rId188" Type="http://schemas.openxmlformats.org/officeDocument/2006/relationships/hyperlink" Target="http://www.mntap.umn.edu/index.htm" TargetMode="External"/><Relationship Id="rId7" Type="http://schemas.openxmlformats.org/officeDocument/2006/relationships/footnotes" Target="footnotes.xml"/><Relationship Id="rId71" Type="http://schemas.openxmlformats.org/officeDocument/2006/relationships/hyperlink" Target="https://www.edockets.state.mn.us/EFiling/edockets/searchDocuments.do?method=showPoup&amp;documentId=%7b5E76BE76-9C21-45ED-AC0C-B1446EB6DBB6%7d&amp;documentTitle=201511-115454-01" TargetMode="External"/><Relationship Id="rId92" Type="http://schemas.openxmlformats.org/officeDocument/2006/relationships/hyperlink" Target="http://www.nrri.umn.edu/egg/pubs_energy.html" TargetMode="External"/><Relationship Id="rId162" Type="http://schemas.openxmlformats.org/officeDocument/2006/relationships/hyperlink" Target="http://www.mvec.net/community/challenge/" TargetMode="External"/><Relationship Id="rId183" Type="http://schemas.openxmlformats.org/officeDocument/2006/relationships/hyperlink" Target="http://www.iea-dhc.org/home.html" TargetMode="External"/><Relationship Id="rId213" Type="http://schemas.openxmlformats.org/officeDocument/2006/relationships/hyperlink" Target="http://www.energy.gov/eere/bioenergy/downloads/biogas-opportunities-roadmap-progress-report" TargetMode="External"/><Relationship Id="rId218" Type="http://schemas.openxmlformats.org/officeDocument/2006/relationships/hyperlink" Target="http://www.mnenergysmart.com/" TargetMode="External"/><Relationship Id="rId234" Type="http://schemas.openxmlformats.org/officeDocument/2006/relationships/hyperlink" Target="http://www.mncee.org/Innovation-Exchange/ie/February-2016/CEE-and-the-Conservation-Improvement-Program-2015/?feed=blogfeed" TargetMode="External"/><Relationship Id="rId239" Type="http://schemas.openxmlformats.org/officeDocument/2006/relationships/hyperlink" Target="http:///h" TargetMode="External"/><Relationship Id="rId2" Type="http://schemas.openxmlformats.org/officeDocument/2006/relationships/numbering" Target="numbering.xml"/><Relationship Id="rId29" Type="http://schemas.openxmlformats.org/officeDocument/2006/relationships/image" Target="media/image4.emf"/><Relationship Id="rId250" Type="http://schemas.openxmlformats.org/officeDocument/2006/relationships/hyperlink" Target="http://www.research.umn.edu/convergence/serendipity.html" TargetMode="External"/><Relationship Id="rId255" Type="http://schemas.openxmlformats.org/officeDocument/2006/relationships/hyperlink" Target="http://www.environmental-initiative.org/our-work/environmental-policy/climate-solutions-economic-opportunities/technical-information-cseo-stakeholder-engagement" TargetMode="External"/><Relationship Id="rId271" Type="http://schemas.openxmlformats.org/officeDocument/2006/relationships/hyperlink" Target="http://www.dsireusa.org/" TargetMode="External"/><Relationship Id="rId276" Type="http://schemas.openxmlformats.org/officeDocument/2006/relationships/header" Target="header6.xml"/><Relationship Id="rId24" Type="http://schemas.openxmlformats.org/officeDocument/2006/relationships/chart" Target="charts/chart3.xml"/><Relationship Id="rId40" Type="http://schemas.openxmlformats.org/officeDocument/2006/relationships/hyperlink" Target="https://www.connexusenergy.com/residential/programs-rates/electric-vehicle/" TargetMode="External"/><Relationship Id="rId45" Type="http://schemas.openxmlformats.org/officeDocument/2006/relationships/hyperlink" Target="https://transportevolved.com/2015/12/23/following-success-with-nissan-leaf-deal-drive-electric-northern-colorado-announces-bmw-i3-for-29994-after-incentives/" TargetMode="External"/><Relationship Id="rId66" Type="http://schemas.openxmlformats.org/officeDocument/2006/relationships/hyperlink" Target="https://www.xcelenergy.com/staticfiles/xe/PDF/Marketing/MN-SRC-Smart-Inverters-Presentation-Dec-2015.pdf" TargetMode="External"/><Relationship Id="rId87" Type="http://schemas.openxmlformats.org/officeDocument/2006/relationships/hyperlink" Target="http://mn.gov/commerce-stat/pdfs/utility-managed-storge-study.pdf" TargetMode="External"/><Relationship Id="rId110" Type="http://schemas.openxmlformats.org/officeDocument/2006/relationships/hyperlink" Target="http://www.wri.org/sites/default/files/Corporate_Renewable_Energy_Buyers_Principles.pdf" TargetMode="External"/><Relationship Id="rId115" Type="http://schemas.openxmlformats.org/officeDocument/2006/relationships/hyperlink" Target="http://www.sustainablebuildingpolicy.umn.edu/saintpaul/legislation.html" TargetMode="External"/><Relationship Id="rId131" Type="http://schemas.openxmlformats.org/officeDocument/2006/relationships/hyperlink" Target="http://static1.squarespace.com/static/52d5c817e4b062861277ea97/t/56724a8269492e0c126d757b/1450330754632/EmPOWEREDConsumer_CaseStudy.pdf" TargetMode="External"/><Relationship Id="rId136" Type="http://schemas.openxmlformats.org/officeDocument/2006/relationships/hyperlink" Target="http://www1.eere.energy.gov/buildings/betterbuildings/accelerators/energy.html" TargetMode="External"/><Relationship Id="rId157" Type="http://schemas.openxmlformats.org/officeDocument/2006/relationships/hyperlink" Target="https://www.cards.commerce.state.mn.us/CARDS/security/search.do?method=showPoup&amp;documentId=%7b971F1044-CF64-41EA-A714-7AEF32F2255B%7d&amp;documentTitle=213328&amp;documentType=6" TargetMode="External"/><Relationship Id="rId178" Type="http://schemas.openxmlformats.org/officeDocument/2006/relationships/hyperlink" Target="https://www.stpaul.gov/departments/planning-economic-development/planning/ford-site-21st-century-community" TargetMode="External"/><Relationship Id="rId61" Type="http://schemas.openxmlformats.org/officeDocument/2006/relationships/image" Target="media/image10.emf"/><Relationship Id="rId82" Type="http://schemas.openxmlformats.org/officeDocument/2006/relationships/hyperlink" Target="https://www.edockets.state.mn.us/EFiling/edockets/searchDocuments.do?method=eDocketsResult&amp;docketYear=15&amp;docketNumber=962" TargetMode="External"/><Relationship Id="rId152" Type="http://schemas.openxmlformats.org/officeDocument/2006/relationships/hyperlink" Target="https://mn.gov/commerce/industries/energy/financial-assistance/loans-and-special-assessment-programs.jsp" TargetMode="External"/><Relationship Id="rId173" Type="http://schemas.openxmlformats.org/officeDocument/2006/relationships/hyperlink" Target="http://midwestenergynews.com/2016/01/25/a-net-zero-strategy-for-major-minnesota-medical-center/" TargetMode="External"/><Relationship Id="rId194" Type="http://schemas.openxmlformats.org/officeDocument/2006/relationships/hyperlink" Target="http://www.clcmn.edu/ag-energy-center/renewable-energy/" TargetMode="External"/><Relationship Id="rId199" Type="http://schemas.openxmlformats.org/officeDocument/2006/relationships/hyperlink" Target="http://www.auri.org/help/research/strategic-initiatives/" TargetMode="External"/><Relationship Id="rId203" Type="http://schemas.openxmlformats.org/officeDocument/2006/relationships/hyperlink" Target="http://www.centralmnethanol.com/" TargetMode="External"/><Relationship Id="rId208" Type="http://schemas.openxmlformats.org/officeDocument/2006/relationships/hyperlink" Target="https://www.revisor.mn.gov/statutes/?id=41A.14" TargetMode="External"/><Relationship Id="rId229" Type="http://schemas.openxmlformats.org/officeDocument/2006/relationships/hyperlink" Target="http://www.environmental-initiative.org/our-work/sustainability" TargetMode="External"/><Relationship Id="rId19" Type="http://schemas.openxmlformats.org/officeDocument/2006/relationships/footer" Target="footer1.xml"/><Relationship Id="rId224" Type="http://schemas.openxmlformats.org/officeDocument/2006/relationships/hyperlink" Target="http://www.rd.usda.gov/mn" TargetMode="External"/><Relationship Id="rId240" Type="http://schemas.openxmlformats.org/officeDocument/2006/relationships/hyperlink" Target="http://www.environmental-initiative.org/our-work/sustainability" TargetMode="External"/><Relationship Id="rId245" Type="http://schemas.openxmlformats.org/officeDocument/2006/relationships/hyperlink" Target="http://www.metrocouncil.org/Communities/Planning/Local-Planning-Assistance.aspx" TargetMode="External"/><Relationship Id="rId261" Type="http://schemas.openxmlformats.org/officeDocument/2006/relationships/hyperlink" Target="https://mn.gov/commerce/industries/energy/financial-assistance/loans-and-special-assessment-programs.jsp" TargetMode="External"/><Relationship Id="rId266" Type="http://schemas.openxmlformats.org/officeDocument/2006/relationships/hyperlink" Target="http://www.dnr.state.mn.us/grants/index.html" TargetMode="External"/><Relationship Id="rId14" Type="http://schemas.openxmlformats.org/officeDocument/2006/relationships/hyperlink" Target="https://www.revisor.mn.gov/statutes/?id=239.7911" TargetMode="External"/><Relationship Id="rId30" Type="http://schemas.openxmlformats.org/officeDocument/2006/relationships/image" Target="media/image5.emf"/><Relationship Id="rId35" Type="http://schemas.openxmlformats.org/officeDocument/2006/relationships/hyperlink" Target="http://www.klinenissan.com/" TargetMode="External"/><Relationship Id="rId56" Type="http://schemas.openxmlformats.org/officeDocument/2006/relationships/hyperlink" Target="http://cphpost.dk/news/copenhagen-to-test-new-electric-buses.html" TargetMode="External"/><Relationship Id="rId77" Type="http://schemas.openxmlformats.org/officeDocument/2006/relationships/hyperlink" Target="http://www.mncee.org/Find-Programs/Energy-Intelligence-for-Industry/" TargetMode="External"/><Relationship Id="rId100" Type="http://schemas.openxmlformats.org/officeDocument/2006/relationships/hyperlink" Target="http://www.betterenergy.org/e21-Phase1-Report" TargetMode="External"/><Relationship Id="rId105" Type="http://schemas.openxmlformats.org/officeDocument/2006/relationships/hyperlink" Target="http://www.xcelenergy.com/Company/About_Xcel_Energy/Media_Room/News_Releases/Xcel_Energy_proposes_option_that_allows_customers_to_get_energy_exclusively_from_wind_and_solar_energy" TargetMode="External"/><Relationship Id="rId126" Type="http://schemas.openxmlformats.org/officeDocument/2006/relationships/hyperlink" Target="https://mn.b3benchmarking.com/News" TargetMode="External"/><Relationship Id="rId147" Type="http://schemas.openxmlformats.org/officeDocument/2006/relationships/hyperlink" Target="http://www.usgbc.org/usgbc-minnesota?view=courses" TargetMode="External"/><Relationship Id="rId168" Type="http://schemas.openxmlformats.org/officeDocument/2006/relationships/hyperlink" Target="http://www.cbsm.com/public/world.lasso" TargetMode="External"/><Relationship Id="rId8" Type="http://schemas.openxmlformats.org/officeDocument/2006/relationships/endnotes" Target="endnotes.xml"/><Relationship Id="rId51" Type="http://schemas.openxmlformats.org/officeDocument/2006/relationships/hyperlink" Target="http://www1.eere.energy.gov/vehiclesandfuels/epact/compliance_methods.html" TargetMode="External"/><Relationship Id="rId72" Type="http://schemas.openxmlformats.org/officeDocument/2006/relationships/hyperlink" Target="http://www.xcelenergy.com/Community/Community_Projects/Community_Involvement/Renewable_Development_Fund/Completed_Projects/Completed_Wind_Projects" TargetMode="External"/><Relationship Id="rId93" Type="http://schemas.openxmlformats.org/officeDocument/2006/relationships/hyperlink" Target="https://weatherbughome.com/honeywell/" TargetMode="External"/><Relationship Id="rId98" Type="http://schemas.openxmlformats.org/officeDocument/2006/relationships/hyperlink" Target="http://mncee.org/Innovation-Exchange/ie/February/Customer-Choice-in-the-Form-of-Energy-Price-Signal/" TargetMode="External"/><Relationship Id="rId121" Type="http://schemas.openxmlformats.org/officeDocument/2006/relationships/hyperlink" Target="http://www.greenbuttondata.org/" TargetMode="External"/><Relationship Id="rId142" Type="http://schemas.openxmlformats.org/officeDocument/2006/relationships/hyperlink" Target="http://energy.gov/eere/buildings/building-energy-asset-score" TargetMode="External"/><Relationship Id="rId163" Type="http://schemas.openxmlformats.org/officeDocument/2006/relationships/hyperlink" Target="https://guep.org/" TargetMode="External"/><Relationship Id="rId184" Type="http://schemas.openxmlformats.org/officeDocument/2006/relationships/hyperlink" Target="http://www.iea-dhc.org/home.html" TargetMode="External"/><Relationship Id="rId189" Type="http://schemas.openxmlformats.org/officeDocument/2006/relationships/hyperlink" Target="http://energy.gov/eere/amo/chp-deployment" TargetMode="External"/><Relationship Id="rId219" Type="http://schemas.openxmlformats.org/officeDocument/2006/relationships/hyperlink" Target="http://www.mncee.org/Innovation-Exchange/ie/February-2016/CEE-and-the-Conservation-Improvement-Program-2015/?feed=blogfeed" TargetMode="External"/><Relationship Id="rId3" Type="http://schemas.openxmlformats.org/officeDocument/2006/relationships/styles" Target="styles.xml"/><Relationship Id="rId214" Type="http://schemas.openxmlformats.org/officeDocument/2006/relationships/hyperlink" Target="http://www.energy.gov/eere/amo/superior-energy-performance" TargetMode="External"/><Relationship Id="rId230" Type="http://schemas.openxmlformats.org/officeDocument/2006/relationships/hyperlink" Target="http://www.cleanenergyresourceteams.org/" TargetMode="External"/><Relationship Id="rId235" Type="http://schemas.openxmlformats.org/officeDocument/2006/relationships/hyperlink" Target="http://www.enterpriseminnesota.org/" TargetMode="External"/><Relationship Id="rId251" Type="http://schemas.openxmlformats.org/officeDocument/2006/relationships/hyperlink" Target="http://www.metrocouncil.org/Handbook.aspx" TargetMode="External"/><Relationship Id="rId256" Type="http://schemas.openxmlformats.org/officeDocument/2006/relationships/hyperlink" Target="http://www.cleanenergyresourceteams.org/solargardens" TargetMode="External"/><Relationship Id="rId277" Type="http://schemas.openxmlformats.org/officeDocument/2006/relationships/fontTable" Target="fontTable.xml"/><Relationship Id="rId25" Type="http://schemas.openxmlformats.org/officeDocument/2006/relationships/image" Target="media/image3.emf"/><Relationship Id="rId46" Type="http://schemas.openxmlformats.org/officeDocument/2006/relationships/image" Target="media/image9.emf"/><Relationship Id="rId67" Type="http://schemas.openxmlformats.org/officeDocument/2006/relationships/hyperlink" Target="http://www.conference-on-integration-2012.com/fileadmin/user_upload_COI-2012/RE_PDF/3-_Tom_Key_EPRI_Smart_Inverter_Demonstrations.pdf" TargetMode="External"/><Relationship Id="rId116" Type="http://schemas.openxmlformats.org/officeDocument/2006/relationships/hyperlink" Target="http://maplewoodmn.gov/756/Green-Building-Program" TargetMode="External"/><Relationship Id="rId137" Type="http://schemas.openxmlformats.org/officeDocument/2006/relationships/hyperlink" Target="http://database.aceee.org/city/energy-data-access" TargetMode="External"/><Relationship Id="rId158" Type="http://schemas.openxmlformats.org/officeDocument/2006/relationships/hyperlink" Target="http://www.xcelenergy.com/Community/Community_Projects/Partners_In_Energy_Community_Programs" TargetMode="External"/><Relationship Id="rId272" Type="http://schemas.openxmlformats.org/officeDocument/2006/relationships/header" Target="header4.xml"/><Relationship Id="rId20" Type="http://schemas.openxmlformats.org/officeDocument/2006/relationships/footer" Target="footer2.xml"/><Relationship Id="rId41" Type="http://schemas.openxmlformats.org/officeDocument/2006/relationships/hyperlink" Target="http://www.energywisemn.com/revolt/" TargetMode="External"/><Relationship Id="rId62" Type="http://schemas.openxmlformats.org/officeDocument/2006/relationships/hyperlink" Target="https://www.edockets.state.mn.us/EFiling/edockets/searchDocuments.do?method=eDocketsResult&amp;docketYear=15&amp;docketNumber=556" TargetMode="External"/><Relationship Id="rId83" Type="http://schemas.openxmlformats.org/officeDocument/2006/relationships/hyperlink" Target="https://www.edockets.state.mn.us/EFiling/edockets/searchDocuments.do?method=eDocketsResult&amp;docketYear=15&amp;docketNumber=962" TargetMode="External"/><Relationship Id="rId88" Type="http://schemas.openxmlformats.org/officeDocument/2006/relationships/hyperlink" Target="http://www.lec.leg.mn/meetings201516.html" TargetMode="External"/><Relationship Id="rId111" Type="http://schemas.openxmlformats.org/officeDocument/2006/relationships/hyperlink" Target="http://www.wri.org/sites/default/files/green-tariff-design-final.pdf" TargetMode="External"/><Relationship Id="rId132" Type="http://schemas.openxmlformats.org/officeDocument/2006/relationships/hyperlink" Target="https://mn.b3benchmarking.com/" TargetMode="External"/><Relationship Id="rId153" Type="http://schemas.openxmlformats.org/officeDocument/2006/relationships/hyperlink" Target="https://mn.gov/commerce/industries/energy/financial-assistance/feasibility.jsp" TargetMode="External"/><Relationship Id="rId174" Type="http://schemas.openxmlformats.org/officeDocument/2006/relationships/hyperlink" Target="http://www.mncee.org/getattachment/What-We-Do/Engagement-and-Education/TEST/Sustainable-DMC.pdf.aspx" TargetMode="External"/><Relationship Id="rId179" Type="http://schemas.openxmlformats.org/officeDocument/2006/relationships/hyperlink" Target="https://www.stpaul.gov/departments/planning-economic-development/planning/snelling-midway-redevelopment-site" TargetMode="External"/><Relationship Id="rId195" Type="http://schemas.openxmlformats.org/officeDocument/2006/relationships/hyperlink" Target="http://www.nrri.umn.edu/cartd/lce/default.htm" TargetMode="External"/><Relationship Id="rId209" Type="http://schemas.openxmlformats.org/officeDocument/2006/relationships/hyperlink" Target="http://www.energy.gov/eere/bioenergy/bioenergy-technologies-office" TargetMode="External"/><Relationship Id="rId190" Type="http://schemas.openxmlformats.org/officeDocument/2006/relationships/hyperlink" Target="http://midwestchptap.org/" TargetMode="External"/><Relationship Id="rId204" Type="http://schemas.openxmlformats.org/officeDocument/2006/relationships/hyperlink" Target="http://www.gevo.com/" TargetMode="External"/><Relationship Id="rId220" Type="http://schemas.openxmlformats.org/officeDocument/2006/relationships/hyperlink" Target="http://www.enterpriseminnesota.org/" TargetMode="External"/><Relationship Id="rId225" Type="http://schemas.openxmlformats.org/officeDocument/2006/relationships/hyperlink" Target="http://www.mnenergysmart.com/" TargetMode="External"/><Relationship Id="rId241" Type="http://schemas.openxmlformats.org/officeDocument/2006/relationships/hyperlink" Target="http://www.cleanenergyeconomymn.org" TargetMode="External"/><Relationship Id="rId246" Type="http://schemas.openxmlformats.org/officeDocument/2006/relationships/hyperlink" Target="http://greenstep.pca.state.mn.us/bestPracticesDetail.cfm?bpid=31" TargetMode="External"/><Relationship Id="rId267" Type="http://schemas.openxmlformats.org/officeDocument/2006/relationships/hyperlink" Target="http://www.growsolar.org/wp-content/uploads/2015/04/Minnesota-Toolkit.pdf" TargetMode="External"/><Relationship Id="rId15" Type="http://schemas.openxmlformats.org/officeDocument/2006/relationships/hyperlink" Target="https://www.revisor.mn.gov/statutes/?id=239.791" TargetMode="External"/><Relationship Id="rId36" Type="http://schemas.openxmlformats.org/officeDocument/2006/relationships/hyperlink" Target="http://www.twincities.com/2016/03/09/electric-car-boosters-offer-minnesotans-a-rebate/" TargetMode="External"/><Relationship Id="rId57" Type="http://schemas.openxmlformats.org/officeDocument/2006/relationships/hyperlink" Target="http://cleantechnica.com/2015/03/06/helsinki-finland-launching-light-weight-electric-bus-service-pilot/" TargetMode="External"/><Relationship Id="rId106" Type="http://schemas.openxmlformats.org/officeDocument/2006/relationships/hyperlink" Target="http://www.betterenergy.org/e21-Phase1-Report" TargetMode="External"/><Relationship Id="rId127" Type="http://schemas.openxmlformats.org/officeDocument/2006/relationships/hyperlink" Target="http://www.xcelenergy.com/Partners/Municipalities/Community_Energy_Reports" TargetMode="External"/><Relationship Id="rId262" Type="http://schemas.openxmlformats.org/officeDocument/2006/relationships/hyperlink" Target="https://mn.gov/commerce/industries/energy/financial-assistance/feasibility.jsp" TargetMode="External"/><Relationship Id="rId10" Type="http://schemas.openxmlformats.org/officeDocument/2006/relationships/hyperlink" Target="https://www.revisor.mn.gov/statutes?id=216C.05" TargetMode="External"/><Relationship Id="rId31" Type="http://schemas.openxmlformats.org/officeDocument/2006/relationships/image" Target="media/image6.png"/><Relationship Id="rId52" Type="http://schemas.openxmlformats.org/officeDocument/2006/relationships/hyperlink" Target="http://www.duluthnewstribune.com/news/3670485-duluth-receive-six-electric-buses" TargetMode="External"/><Relationship Id="rId73" Type="http://schemas.openxmlformats.org/officeDocument/2006/relationships/hyperlink" Target="http://www.epri.com/search/Pages/results.aspx?k=Community%20Energy%20Storage%20Demonstration%20at%20the%20Solar%20Technology%20Acceleration%20Center" TargetMode="External"/><Relationship Id="rId78" Type="http://schemas.openxmlformats.org/officeDocument/2006/relationships/hyperlink" Target="http://mn.gov/commerce-stat/pdfs/utility-managed-storge-study.pdf" TargetMode="External"/><Relationship Id="rId94" Type="http://schemas.openxmlformats.org/officeDocument/2006/relationships/hyperlink" Target="https://www.misoenergy.org/Library/Repository/Meeting%20Material/Stakeholder/MSC/2016/20160105/20160105%20MSC%20Item%2006%20Energy%20Storage%20Workshop.pdf" TargetMode="External"/><Relationship Id="rId99" Type="http://schemas.openxmlformats.org/officeDocument/2006/relationships/hyperlink" Target="http://mncee.org/Innovation-Exchange/ie/February/Customer-Choice-in-the-Form-of-Energy-Price-Signal/" TargetMode="External"/><Relationship Id="rId101" Type="http://schemas.openxmlformats.org/officeDocument/2006/relationships/hyperlink" Target="http://mncee.org/Innovation-Exchange/ie/February/Customer-Choice-in-the-Form-of-Energy-Price-Signal/" TargetMode="External"/><Relationship Id="rId122" Type="http://schemas.openxmlformats.org/officeDocument/2006/relationships/hyperlink" Target="http://www.greenbuttondata.org/" TargetMode="External"/><Relationship Id="rId143" Type="http://schemas.openxmlformats.org/officeDocument/2006/relationships/hyperlink" Target="https://www.cards.commerce.state.mn.us/CARDS/security/search.do?method=showPoup&amp;documentId=%7b20FCCD12-7BD9-4055-B01E-6898CD7C9CD3%7d&amp;documentTitle=148413&amp;documentType=6" TargetMode="External"/><Relationship Id="rId148" Type="http://schemas.openxmlformats.org/officeDocument/2006/relationships/hyperlink" Target="http://www.csbr.umn.edu/download/MinnesotaTrainingPlanReport-Final-121410.pdf" TargetMode="External"/><Relationship Id="rId164" Type="http://schemas.openxmlformats.org/officeDocument/2006/relationships/hyperlink" Target="http://www.minnesotanationalguard.org/press_room/e-zine/articles/index.php?item=4738" TargetMode="External"/><Relationship Id="rId169" Type="http://schemas.openxmlformats.org/officeDocument/2006/relationships/image" Target="media/image11.jpg"/><Relationship Id="rId185" Type="http://schemas.openxmlformats.org/officeDocument/2006/relationships/hyperlink" Target="http://mn.gov/commerce/industries/energy/distributed-energy/combined-heat-power.jsp" TargetMode="External"/><Relationship Id="rId4" Type="http://schemas.microsoft.com/office/2007/relationships/stylesWithEffects" Target="stylesWithEffects.xml"/><Relationship Id="rId9" Type="http://schemas.openxmlformats.org/officeDocument/2006/relationships/hyperlink" Target="https://www.revisor.mn.gov/statutes?id=216C.05" TargetMode="External"/><Relationship Id="rId180" Type="http://schemas.openxmlformats.org/officeDocument/2006/relationships/hyperlink" Target="http://midwestchptap.org/" TargetMode="External"/><Relationship Id="rId210" Type="http://schemas.openxmlformats.org/officeDocument/2006/relationships/hyperlink" Target="http://www.rd.usda.gov/" TargetMode="External"/><Relationship Id="rId215" Type="http://schemas.openxmlformats.org/officeDocument/2006/relationships/hyperlink" Target="http://energy.gov/eere/amo/better-plants" TargetMode="External"/><Relationship Id="rId236" Type="http://schemas.openxmlformats.org/officeDocument/2006/relationships/hyperlink" Target="http://sppa.com/financing-businesses/" TargetMode="External"/><Relationship Id="rId257" Type="http://schemas.openxmlformats.org/officeDocument/2006/relationships/hyperlink" Target="http://www.cleanenergyresourceteams.org/" TargetMode="External"/><Relationship Id="rId278" Type="http://schemas.openxmlformats.org/officeDocument/2006/relationships/theme" Target="theme/theme1.xml"/><Relationship Id="rId26" Type="http://schemas.openxmlformats.org/officeDocument/2006/relationships/chart" Target="charts/chart4.xml"/><Relationship Id="rId231" Type="http://schemas.openxmlformats.org/officeDocument/2006/relationships/hyperlink" Target="http://www.rd.usda.gov/mn" TargetMode="External"/><Relationship Id="rId252" Type="http://schemas.openxmlformats.org/officeDocument/2006/relationships/hyperlink" Target="http://energy.gov/eere/cities-leading-through-energy-analysis-and-planning" TargetMode="External"/><Relationship Id="rId273" Type="http://schemas.openxmlformats.org/officeDocument/2006/relationships/header" Target="header5.xml"/><Relationship Id="rId47" Type="http://schemas.openxmlformats.org/officeDocument/2006/relationships/hyperlink" Target="http://www.driveelectricmn.org/charging_fleets.cfm" TargetMode="External"/><Relationship Id="rId68" Type="http://schemas.openxmlformats.org/officeDocument/2006/relationships/hyperlink" Target="http://greatriverenergy.com/wp-content/uploads/2016/03/Solar-fact-sheet-2016.pdf" TargetMode="External"/><Relationship Id="rId89" Type="http://schemas.openxmlformats.org/officeDocument/2006/relationships/hyperlink" Target="http://mn.gov/commerce-stat/pdfs/CHP%20pdfs/MN-Microgrid-WP-FINAL-amended.pdf" TargetMode="External"/><Relationship Id="rId112" Type="http://schemas.openxmlformats.org/officeDocument/2006/relationships/hyperlink" Target="http://www.ceres.org/resources/reports/power-forward-2.0-how-american-companies-are-setting-clean-energy-targets-and-capturing-greater-business-value" TargetMode="External"/><Relationship Id="rId133" Type="http://schemas.openxmlformats.org/officeDocument/2006/relationships/hyperlink" Target="https://www.municode.com/library/mn/minneapolis/codes/code_of_ordinances?nodeId=COOR_TIT3AIPOENPR_CH47ENAIPO_47.190COBURADI" TargetMode="External"/><Relationship Id="rId154" Type="http://schemas.openxmlformats.org/officeDocument/2006/relationships/hyperlink" Target="https://mn.gov/commerce/industries/energy/financial-assistance/loans-and-special-assessment-programs.jsp" TargetMode="External"/><Relationship Id="rId175" Type="http://schemas.openxmlformats.org/officeDocument/2006/relationships/hyperlink" Target="http://ricecreekcommons.com/" TargetMode="External"/><Relationship Id="rId196" Type="http://schemas.openxmlformats.org/officeDocument/2006/relationships/hyperlink" Target="http://www.cinram.umn.edu/projects/forevergreen/research" TargetMode="External"/><Relationship Id="rId200" Type="http://schemas.openxmlformats.org/officeDocument/2006/relationships/hyperlink" Target="http://www.auri.org/midwest-biomass-inventory-regional-bionenergy-studies-and-other-documents/" TargetMode="External"/><Relationship Id="rId16" Type="http://schemas.openxmlformats.org/officeDocument/2006/relationships/hyperlink" Target="https://www.revisor.mn.gov/statutes/?id=239.77" TargetMode="External"/><Relationship Id="rId221" Type="http://schemas.openxmlformats.org/officeDocument/2006/relationships/hyperlink" Target="http://sppa.com/financing-businesses/" TargetMode="External"/><Relationship Id="rId242" Type="http://schemas.openxmlformats.org/officeDocument/2006/relationships/hyperlink" Target="http://www.bluegreenalliance.org/about" TargetMode="External"/><Relationship Id="rId263" Type="http://schemas.openxmlformats.org/officeDocument/2006/relationships/hyperlink" Target="https://mn.gov/commerce/industries/energy/financial-assistance/loans-and-special-assessment-programs.jsp" TargetMode="External"/><Relationship Id="rId37" Type="http://schemas.openxmlformats.org/officeDocument/2006/relationships/hyperlink" Target="https://www.revisor.mn.gov/data/revisor/sbs/ls89/miscenergy.pdf" TargetMode="External"/><Relationship Id="rId58" Type="http://schemas.openxmlformats.org/officeDocument/2006/relationships/hyperlink" Target="http://www.afdc.energy.gov/laws" TargetMode="External"/><Relationship Id="rId79" Type="http://schemas.openxmlformats.org/officeDocument/2006/relationships/hyperlink" Target="http://mn.gov/commerce-stat/pdfs/CHP%20pdfs/MN-Microgrid-WP-FINAL-amended.pdf" TargetMode="External"/><Relationship Id="rId102" Type="http://schemas.openxmlformats.org/officeDocument/2006/relationships/hyperlink" Target="http://sites.energetics.com/madri/pdfs/ArticleReport2441.pdf" TargetMode="External"/><Relationship Id="rId123" Type="http://schemas.openxmlformats.org/officeDocument/2006/relationships/hyperlink" Target="https://www.edockets.state.mn.us/EFiling/edockets/searchDocuments.do?method=showPoup&amp;documentId=%7B20B55EFE-85CD-4A4A-9AEA-7DA781BA691A%7D&amp;documentTitle=20131-82520-01" TargetMode="External"/><Relationship Id="rId144" Type="http://schemas.openxmlformats.org/officeDocument/2006/relationships/hyperlink" Target="http://www.boccentral.org/training-minnesota" TargetMode="External"/><Relationship Id="rId90" Type="http://schemas.openxmlformats.org/officeDocument/2006/relationships/hyperlink" Target="http://mn.gov/commerce-stat/pdfs/CHP%20pdfs/MN-Microgrid-WP-FINAL-amended.pdf" TargetMode="External"/><Relationship Id="rId165" Type="http://schemas.openxmlformats.org/officeDocument/2006/relationships/hyperlink" Target="https://www4.eere.energy.gov/seeaction/topic-category/behavior-based-energy-efficiency" TargetMode="External"/><Relationship Id="rId186" Type="http://schemas.openxmlformats.org/officeDocument/2006/relationships/hyperlink" Target="http://mn.gov/commerce/industries/energy/distributed-energy/chp-action-plan-implementation-.jsp" TargetMode="External"/><Relationship Id="rId211" Type="http://schemas.openxmlformats.org/officeDocument/2006/relationships/hyperlink" Target="http://www.auri.org/" TargetMode="External"/><Relationship Id="rId232" Type="http://schemas.openxmlformats.org/officeDocument/2006/relationships/hyperlink" Target="http://mn.gov/commerce/industries/energy/efficiency/" TargetMode="External"/><Relationship Id="rId253" Type="http://schemas.openxmlformats.org/officeDocument/2006/relationships/hyperlink" Target="http://energy.gov/eere/slsc/guide-community-energy-strategic-planning" TargetMode="External"/><Relationship Id="rId274" Type="http://schemas.openxmlformats.org/officeDocument/2006/relationships/footer" Target="footer3.xml"/><Relationship Id="rId27" Type="http://schemas.openxmlformats.org/officeDocument/2006/relationships/chart" Target="charts/chart5.xml"/><Relationship Id="rId48" Type="http://schemas.openxmlformats.org/officeDocument/2006/relationships/hyperlink" Target="https://www.revisor.mn.gov/statutes/?id=16C.135" TargetMode="External"/><Relationship Id="rId69" Type="http://schemas.openxmlformats.org/officeDocument/2006/relationships/hyperlink" Target="http://www.conference-on-integration-2012.com/fileadmin/user_upload_COI-2012/RE_PDF/3-_Tom_Key_EPRI_Smart_Inverter_Demonstrations.pdf" TargetMode="External"/><Relationship Id="rId113" Type="http://schemas.openxmlformats.org/officeDocument/2006/relationships/chart" Target="charts/chart7.xml"/><Relationship Id="rId134" Type="http://schemas.openxmlformats.org/officeDocument/2006/relationships/hyperlink" Target="http://mnenergystarchallenge.com/" TargetMode="External"/><Relationship Id="rId80" Type="http://schemas.openxmlformats.org/officeDocument/2006/relationships/hyperlink" Target="https://www.edockets.state.mn.us/EFiling/edockets/searchDocuments.do?method=showPoup&amp;documentId=%7b5E76BE76-9C21-45ED-AC0C-B1446EB6DBB6%7d&amp;documentTitle=201511-115454-01" TargetMode="External"/><Relationship Id="rId155" Type="http://schemas.openxmlformats.org/officeDocument/2006/relationships/hyperlink" Target="http://www.b3mn.org/operations/" TargetMode="External"/><Relationship Id="rId176" Type="http://schemas.openxmlformats.org/officeDocument/2006/relationships/hyperlink" Target="http://ricecreekcommons.com/wp-content/uploads/2014/12/TCAAP-WP-FINAL.pdf" TargetMode="External"/><Relationship Id="rId197" Type="http://schemas.openxmlformats.org/officeDocument/2006/relationships/hyperlink" Target="http://greenlandsbluewaters.net/" TargetMode="External"/><Relationship Id="rId201" Type="http://schemas.openxmlformats.org/officeDocument/2006/relationships/hyperlink" Target="http://mnbioeconomy.org/" TargetMode="External"/><Relationship Id="rId222" Type="http://schemas.openxmlformats.org/officeDocument/2006/relationships/hyperlink" Target="http://www.environmental-initiative.org/our-work/sustainability" TargetMode="External"/><Relationship Id="rId243" Type="http://schemas.openxmlformats.org/officeDocument/2006/relationships/image" Target="media/image12.png"/><Relationship Id="rId264" Type="http://schemas.openxmlformats.org/officeDocument/2006/relationships/hyperlink" Target="https://www.pca.state.mn.us/quick-links/technical-assistance" TargetMode="External"/><Relationship Id="rId17" Type="http://schemas.openxmlformats.org/officeDocument/2006/relationships/header" Target="header1.xml"/><Relationship Id="rId38" Type="http://schemas.openxmlformats.org/officeDocument/2006/relationships/hyperlink" Target="https://www.revisor.mn.gov/statutes/?id=216B.169" TargetMode="External"/><Relationship Id="rId59" Type="http://schemas.openxmlformats.org/officeDocument/2006/relationships/hyperlink" Target="http://www.afdc.energy.gov/locator/stations/" TargetMode="External"/><Relationship Id="rId103" Type="http://schemas.openxmlformats.org/officeDocument/2006/relationships/hyperlink" Target="http://papers.ssrn.com/sol3/papers.cfm?abstract_id=2288116" TargetMode="External"/><Relationship Id="rId124" Type="http://schemas.openxmlformats.org/officeDocument/2006/relationships/hyperlink" Target="http://www.xcelenergy.com/Programs_and_Rebates/Business_Programs_and_Rebates/New_Construction_and_Whole_Building/Energy_Benchmarking" TargetMode="External"/><Relationship Id="rId70" Type="http://schemas.openxmlformats.org/officeDocument/2006/relationships/hyperlink" Target="https://www.edockets.state.mn.us/EFiling/edockets/searchDocuments.do?method=eDocketsResult&amp;docketYear=15&amp;docketNumber=556" TargetMode="External"/><Relationship Id="rId91" Type="http://schemas.openxmlformats.org/officeDocument/2006/relationships/hyperlink" Target="https://www.xcelenergy.com/staticfiles/xe/Corporate/Environment/wind-to-battery%20fact%20sheet.pdf" TargetMode="External"/><Relationship Id="rId145" Type="http://schemas.openxmlformats.org/officeDocument/2006/relationships/hyperlink" Target="http://www.seventhwave.org/education/" TargetMode="External"/><Relationship Id="rId166" Type="http://schemas.openxmlformats.org/officeDocument/2006/relationships/hyperlink" Target="http://www.instituteforgovernment.org.uk/publications/mindspace" TargetMode="External"/><Relationship Id="rId187" Type="http://schemas.openxmlformats.org/officeDocument/2006/relationships/hyperlink" Target="http://www.mntap.umn.edu/index.htm" TargetMode="External"/><Relationship Id="rId1" Type="http://schemas.openxmlformats.org/officeDocument/2006/relationships/customXml" Target="../customXml/item1.xml"/><Relationship Id="rId212" Type="http://schemas.openxmlformats.org/officeDocument/2006/relationships/hyperlink" Target="http://www.environmental-initiative.org/images/files/CSEO/RCII-5%20Thermal%20Renewable%20Incentives%20and%20Resources.pdf" TargetMode="External"/><Relationship Id="rId233" Type="http://schemas.openxmlformats.org/officeDocument/2006/relationships/hyperlink" Target="http://www.mnenergysmart.com/" TargetMode="External"/><Relationship Id="rId254" Type="http://schemas.openxmlformats.org/officeDocument/2006/relationships/hyperlink" Target="http://www.rmi.org/community_energy_guide" TargetMode="External"/><Relationship Id="rId28" Type="http://schemas.openxmlformats.org/officeDocument/2006/relationships/chart" Target="charts/chart6.xml"/><Relationship Id="rId49" Type="http://schemas.openxmlformats.org/officeDocument/2006/relationships/hyperlink" Target="http://www.afdc.energy.gov/pdfs/pev_handbook.pdf" TargetMode="External"/><Relationship Id="rId114" Type="http://schemas.openxmlformats.org/officeDocument/2006/relationships/hyperlink" Target="http://www.environmental-initiative.org/images/files/CSEO/RCII-2%20SB2030%20Zero%20Energy%20Transition%20Codes.pdf" TargetMode="External"/><Relationship Id="rId275" Type="http://schemas.openxmlformats.org/officeDocument/2006/relationships/footer" Target="footer4.xml"/><Relationship Id="rId60" Type="http://schemas.openxmlformats.org/officeDocument/2006/relationships/hyperlink" Target="http://energy-vision.org/ev-publications/EV-RNG-Community-Guide.pdf" TargetMode="External"/><Relationship Id="rId81" Type="http://schemas.openxmlformats.org/officeDocument/2006/relationships/hyperlink" Target="https://www.edockets.state.mn.us/EFiling/edockets/searchDocuments.do?method=showPoup&amp;documentId=%7b5E76BE76-9C21-45ED-AC0C-B1446EB6DBB6%7d&amp;documentTitle=201511-115454-01" TargetMode="External"/><Relationship Id="rId135" Type="http://schemas.openxmlformats.org/officeDocument/2006/relationships/hyperlink" Target="https://www.edockets.state.mn.us/EFiling/edockets/searchDocuments.do?method=eDocketsResult&amp;docketYear=12&amp;docketNumber=1344" TargetMode="External"/><Relationship Id="rId156" Type="http://schemas.openxmlformats.org/officeDocument/2006/relationships/hyperlink" Target="http://www.csbr.umn.edu/download/MinnesotaTrainingPlanReport-Final-121410.pdf" TargetMode="External"/><Relationship Id="rId177" Type="http://schemas.openxmlformats.org/officeDocument/2006/relationships/hyperlink" Target="https://www.minnpost.com/line/2015/07/urbanists-dream-new-msp-innovation-district-would-create-national-standard-city-buildin" TargetMode="External"/><Relationship Id="rId198" Type="http://schemas.openxmlformats.org/officeDocument/2006/relationships/hyperlink" Target="https://www.morris.umn.edu/sustainability/research/"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www.wri.org/sites/default/files/Corporate_Renewable_Energy_Buyers_Principles.pdf" TargetMode="External"/><Relationship Id="rId21" Type="http://schemas.openxmlformats.org/officeDocument/2006/relationships/hyperlink" Target="https://www.pca.state.mn.us/sites/default/files/lraq-2sy15.pdf" TargetMode="External"/><Relationship Id="rId42" Type="http://schemas.openxmlformats.org/officeDocument/2006/relationships/hyperlink" Target="https://www.edockets.state.mn.us/EFiling/edockets/searchDocuments.do?method=showPoup&amp;documentId=%7b6B89F8ED-D5BA-4048-A4F8-2A3E8FF9F9ED%7d&amp;documentTitle=20158-113205-03" TargetMode="External"/><Relationship Id="rId63" Type="http://schemas.openxmlformats.org/officeDocument/2006/relationships/hyperlink" Target="http://www.theicct.org/sites/default/files/publications/ICCT_state-EV-incentives_20141030.pdf" TargetMode="External"/><Relationship Id="rId84" Type="http://schemas.openxmlformats.org/officeDocument/2006/relationships/hyperlink" Target="http://cleantechnica.com/2015/03/06/helsinki-finland-launching-light-weight-electric-bus-service-pilot/" TargetMode="External"/><Relationship Id="rId138" Type="http://schemas.openxmlformats.org/officeDocument/2006/relationships/hyperlink" Target="http://www.b3mn.org/2030energystandard/" TargetMode="External"/><Relationship Id="rId159" Type="http://schemas.openxmlformats.org/officeDocument/2006/relationships/hyperlink" Target="https://guep.org/" TargetMode="External"/><Relationship Id="rId170" Type="http://schemas.openxmlformats.org/officeDocument/2006/relationships/hyperlink" Target="http://www.mncee.org/getattachment/What-We-Do/Engagement-and-Education/TEST/Sustainable-DMC.pdf.aspx" TargetMode="External"/><Relationship Id="rId191" Type="http://schemas.openxmlformats.org/officeDocument/2006/relationships/hyperlink" Target="http://www.mda.state.mn.us/renewable/ethanol.aspx" TargetMode="External"/><Relationship Id="rId205" Type="http://schemas.openxmlformats.org/officeDocument/2006/relationships/hyperlink" Target="http://www.gevo.com/" TargetMode="External"/><Relationship Id="rId226" Type="http://schemas.openxmlformats.org/officeDocument/2006/relationships/hyperlink" Target="http://coloradocleantech.com/fellows-institute/" TargetMode="External"/><Relationship Id="rId107" Type="http://schemas.openxmlformats.org/officeDocument/2006/relationships/hyperlink" Target="http://sites.energetics.com/madri/pdfs/ArticleReport2441.pdf" TargetMode="External"/><Relationship Id="rId11" Type="http://schemas.openxmlformats.org/officeDocument/2006/relationships/hyperlink" Target="https://www.edockets.state.mn.us/EFiling/edockets/searchDocuments.do?method=showPoup&amp;documentId=%7b4E9B6B10-518C-4B31-9DF1-DEB4660D499D%7d&amp;documentTitle=20151-106743-01" TargetMode="External"/><Relationship Id="rId32" Type="http://schemas.openxmlformats.org/officeDocument/2006/relationships/hyperlink" Target="https://www.pca.state.mn.us/air/greenhouse-gas-emissions-data" TargetMode="External"/><Relationship Id="rId53" Type="http://schemas.openxmlformats.org/officeDocument/2006/relationships/hyperlink" Target="http://www.fhwa.dot.gov/planning/census_issues/american_community_survey/products/2015_transportation_profiles/state/profile_minnesota.cfm" TargetMode="External"/><Relationship Id="rId74" Type="http://schemas.openxmlformats.org/officeDocument/2006/relationships/hyperlink" Target="http://www.driveelectricmn.org/charging_fleets.cfm" TargetMode="External"/><Relationship Id="rId128" Type="http://schemas.openxmlformats.org/officeDocument/2006/relationships/hyperlink" Target="http://maplewoodmn.gov/756/Green-Building-Program" TargetMode="External"/><Relationship Id="rId149" Type="http://schemas.openxmlformats.org/officeDocument/2006/relationships/hyperlink" Target="http://www.facilitiesnet.com/energyefficiency/article/Retrocommissioning--4126" TargetMode="External"/><Relationship Id="rId5" Type="http://schemas.openxmlformats.org/officeDocument/2006/relationships/hyperlink" Target="https://www.iea.org/publications/freepublications/publication/MediumTermEnergyefficiencyMarketReport2015.pdf" TargetMode="External"/><Relationship Id="rId95" Type="http://schemas.openxmlformats.org/officeDocument/2006/relationships/hyperlink" Target="http://www.epri.com/abstracts/Pages/ProductAbstract.aspx?ProductId=000000003002007047" TargetMode="External"/><Relationship Id="rId160" Type="http://schemas.openxmlformats.org/officeDocument/2006/relationships/hyperlink" Target="http://www.minnesotanationalguard.org/press_room/e-zine/articles/index.php?item=4738" TargetMode="External"/><Relationship Id="rId181" Type="http://schemas.openxmlformats.org/officeDocument/2006/relationships/hyperlink" Target="http://www.mntap.umn.edu/index.htm" TargetMode="External"/><Relationship Id="rId216" Type="http://schemas.openxmlformats.org/officeDocument/2006/relationships/hyperlink" Target="http://aceee.org/energy-efficiency-opportunities-usda" TargetMode="External"/><Relationship Id="rId237" Type="http://schemas.openxmlformats.org/officeDocument/2006/relationships/hyperlink" Target="https://www.pca.state.mn.us/quick-links/technical-assistance" TargetMode="External"/><Relationship Id="rId22" Type="http://schemas.openxmlformats.org/officeDocument/2006/relationships/hyperlink" Target="https://s3.amazonaws.com/dive_assets/rlpsys/state_of_electric_utility_2016.pdf" TargetMode="External"/><Relationship Id="rId43" Type="http://schemas.openxmlformats.org/officeDocument/2006/relationships/hyperlink" Target="http://www.mprnews.org/story/2015/08/13/minnesota-clean-energy-targets" TargetMode="External"/><Relationship Id="rId64" Type="http://schemas.openxmlformats.org/officeDocument/2006/relationships/hyperlink" Target="http://www.driveelectricmn.org/" TargetMode="External"/><Relationship Id="rId118" Type="http://schemas.openxmlformats.org/officeDocument/2006/relationships/hyperlink" Target="http://www.wri.org/sites/default/files/green-tariff-design-final.pdf" TargetMode="External"/><Relationship Id="rId139" Type="http://schemas.openxmlformats.org/officeDocument/2006/relationships/hyperlink" Target="https://www.municode.com/library/mn/minneapolis/codes/code_of_ordinances?nodeId=COOR_TIT3AIPOENPR_CH47ENAIPO_47.190COBURADI" TargetMode="External"/><Relationship Id="rId85" Type="http://schemas.openxmlformats.org/officeDocument/2006/relationships/hyperlink" Target="http://www.afdc.energy.gov/laws" TargetMode="External"/><Relationship Id="rId150" Type="http://schemas.openxmlformats.org/officeDocument/2006/relationships/hyperlink" Target="http://www.ameresco.com/sites/default/files/sm_reprint_airportimprovement_magazine.pdf" TargetMode="External"/><Relationship Id="rId171" Type="http://schemas.openxmlformats.org/officeDocument/2006/relationships/hyperlink" Target="http://ricecreekcommons.com/energy/energy-policy-white-paper/" TargetMode="External"/><Relationship Id="rId192" Type="http://schemas.openxmlformats.org/officeDocument/2006/relationships/hyperlink" Target="http://www.mda.state.mn.us/news/government/~/media/Files/news/govrelations/legrpt-biodiesel16.pdf" TargetMode="External"/><Relationship Id="rId206" Type="http://schemas.openxmlformats.org/officeDocument/2006/relationships/hyperlink" Target="http://www.mda.state.mn.us/grants/grants/mnbiofuel.aspx" TargetMode="External"/><Relationship Id="rId227" Type="http://schemas.openxmlformats.org/officeDocument/2006/relationships/hyperlink" Target="http://laincubator.org" TargetMode="External"/><Relationship Id="rId201" Type="http://schemas.openxmlformats.org/officeDocument/2006/relationships/hyperlink" Target="http://www.auri.org/midwest-biomass-inventory-regional-bionenergy-studies-and-other-documents/" TargetMode="External"/><Relationship Id="rId222" Type="http://schemas.openxmlformats.org/officeDocument/2006/relationships/hyperlink" Target="http://www.necec.org" TargetMode="External"/><Relationship Id="rId12" Type="http://schemas.openxmlformats.org/officeDocument/2006/relationships/hyperlink" Target="http://www.mda.state.mn.us/renewable/biodiesel/aboutbiodiesel.aspx" TargetMode="External"/><Relationship Id="rId17" Type="http://schemas.openxmlformats.org/officeDocument/2006/relationships/hyperlink" Target="http://www.eia.gov/state/?sid=MN" TargetMode="External"/><Relationship Id="rId33" Type="http://schemas.openxmlformats.org/officeDocument/2006/relationships/hyperlink" Target="https://www.eia.gov/todayinenergy/detail.cfm?id=25652" TargetMode="External"/><Relationship Id="rId38" Type="http://schemas.openxmlformats.org/officeDocument/2006/relationships/hyperlink" Target="https://www.revisor.mn.gov/statutes/?id=216B.241" TargetMode="External"/><Relationship Id="rId59" Type="http://schemas.openxmlformats.org/officeDocument/2006/relationships/hyperlink" Target="http://www.mprnews.org/story/2015/10/02/xcel-sherco-shutdown-plans" TargetMode="External"/><Relationship Id="rId103" Type="http://schemas.openxmlformats.org/officeDocument/2006/relationships/hyperlink" Target="http://www.utilitydive.com/news/how-opower-is-pushing-behavioral-demand-response-into-the-mainstream/399790/" TargetMode="External"/><Relationship Id="rId108" Type="http://schemas.openxmlformats.org/officeDocument/2006/relationships/hyperlink" Target="http://papers.ssrn.com/sol3/papers.cfm?abstract_id=2288116" TargetMode="External"/><Relationship Id="rId124" Type="http://schemas.openxmlformats.org/officeDocument/2006/relationships/hyperlink" Target="http://www.environmental-initiative.org/images/files/CSEO/RCII-2%20SB2030%20Zero%20Energy%20Transition%20Codes.pdf" TargetMode="External"/><Relationship Id="rId129" Type="http://schemas.openxmlformats.org/officeDocument/2006/relationships/hyperlink" Target="https://www.whitehouse.gov/blog/2011/09/15/modeling-green-energy-challenge-after-blue-button" TargetMode="External"/><Relationship Id="rId54" Type="http://schemas.openxmlformats.org/officeDocument/2006/relationships/hyperlink" Target="http://www.fhwa.dot.gov/planning/census_issues/american_community_survey/products/2015_transportation_profiles/state/profile_minnesota.cfm" TargetMode="External"/><Relationship Id="rId70" Type="http://schemas.openxmlformats.org/officeDocument/2006/relationships/hyperlink" Target="http://www.driveelectricmn.org/zecc/" TargetMode="External"/><Relationship Id="rId75" Type="http://schemas.openxmlformats.org/officeDocument/2006/relationships/hyperlink" Target="https://www.revisor.mn.gov/statutes/?id=16C.135" TargetMode="External"/><Relationship Id="rId91" Type="http://schemas.openxmlformats.org/officeDocument/2006/relationships/hyperlink" Target="https://www.smartgrid.gov/" TargetMode="External"/><Relationship Id="rId96" Type="http://schemas.openxmlformats.org/officeDocument/2006/relationships/hyperlink" Target="http://www.nrel.gov/docs/fy15osti/65063.pdf" TargetMode="External"/><Relationship Id="rId140" Type="http://schemas.openxmlformats.org/officeDocument/2006/relationships/hyperlink" Target="http://mnenergystarchallenge.com/" TargetMode="External"/><Relationship Id="rId145" Type="http://schemas.openxmlformats.org/officeDocument/2006/relationships/hyperlink" Target="http://energy.gov/eere/buildings/building-energy-asset-score" TargetMode="External"/><Relationship Id="rId161" Type="http://schemas.openxmlformats.org/officeDocument/2006/relationships/hyperlink" Target="https://www4.eere.energy.gov/seeaction/topic-category/behavior-based-energy-efficiency" TargetMode="External"/><Relationship Id="rId166" Type="http://schemas.openxmlformats.org/officeDocument/2006/relationships/hyperlink" Target="http://www.unep.org/energy/portals/50177/DES_District_Energy_Report_full_02_d.pdf" TargetMode="External"/><Relationship Id="rId182" Type="http://schemas.openxmlformats.org/officeDocument/2006/relationships/hyperlink" Target="https://www4.eere.energy.gov/seeaction/publication/guide-successful-implementation-state-combined-heat-and-power-policies" TargetMode="External"/><Relationship Id="rId187" Type="http://schemas.openxmlformats.org/officeDocument/2006/relationships/hyperlink" Target="http://www.eia.gov/state/?sid=MN" TargetMode="External"/><Relationship Id="rId217" Type="http://schemas.openxmlformats.org/officeDocument/2006/relationships/hyperlink" Target="http://energy.gov/eere/amo/ta" TargetMode="External"/><Relationship Id="rId1" Type="http://schemas.openxmlformats.org/officeDocument/2006/relationships/hyperlink" Target="http://www.iea.org/evi/Global-EV-Outlook-2015-Update_1page.pdf" TargetMode="External"/><Relationship Id="rId6" Type="http://schemas.openxmlformats.org/officeDocument/2006/relationships/hyperlink" Target="https://emp.lbl.gov/sites/all/files/lbnl-6598e_0.pdf" TargetMode="External"/><Relationship Id="rId212" Type="http://schemas.openxmlformats.org/officeDocument/2006/relationships/hyperlink" Target="http://www.energy.gov/eere/bioenergy/bioenergy-technologies-office" TargetMode="External"/><Relationship Id="rId233" Type="http://schemas.openxmlformats.org/officeDocument/2006/relationships/hyperlink" Target="http://www.environmental-initiative.org/our-work/environmental-policy/climate-solutions-economic-opportunities/technical-information-cseo-stakeholder-engagement" TargetMode="External"/><Relationship Id="rId238" Type="http://schemas.openxmlformats.org/officeDocument/2006/relationships/hyperlink" Target="http://www.dli.mn.gov/CCLD/ElectricalSolar.asp" TargetMode="External"/><Relationship Id="rId23" Type="http://schemas.openxmlformats.org/officeDocument/2006/relationships/hyperlink" Target="http://www.renewableenergyworld.com/articles/2015/12/making-sense-of-the-itc-extension-for-wind-solar-and-bioenergy-too.html" TargetMode="External"/><Relationship Id="rId28" Type="http://schemas.openxmlformats.org/officeDocument/2006/relationships/hyperlink" Target="http://www.eia.gov/state/?sid=MN" TargetMode="External"/><Relationship Id="rId49" Type="http://schemas.openxmlformats.org/officeDocument/2006/relationships/hyperlink" Target="http://www.cleanenergyresourceteams.org/solargardens" TargetMode="External"/><Relationship Id="rId114" Type="http://schemas.openxmlformats.org/officeDocument/2006/relationships/hyperlink" Target="http://www.lec.leg.mn/projects/2025/102815Video.wmv" TargetMode="External"/><Relationship Id="rId119" Type="http://schemas.openxmlformats.org/officeDocument/2006/relationships/hyperlink" Target="http://www.eia.gov/state/?sid=MN" TargetMode="External"/><Relationship Id="rId44" Type="http://schemas.openxmlformats.org/officeDocument/2006/relationships/hyperlink" Target="http://programs.dsireusa.org/system/program/detail/2401" TargetMode="External"/><Relationship Id="rId60" Type="http://schemas.openxmlformats.org/officeDocument/2006/relationships/hyperlink" Target="https://greet.es.anl.gov/publication-vehicle_and_components_manufacturing" TargetMode="External"/><Relationship Id="rId65" Type="http://schemas.openxmlformats.org/officeDocument/2006/relationships/hyperlink" Target="https://www.revisor.mn.gov/data/revisor/sbs/ls89/miscenergy.pdf" TargetMode="External"/><Relationship Id="rId81" Type="http://schemas.openxmlformats.org/officeDocument/2006/relationships/hyperlink" Target="http://www.scpr.org/news/2016/02/12/57476/antelope-valley-to-get-all-electric-bus-fleet-offi/" TargetMode="External"/><Relationship Id="rId86" Type="http://schemas.openxmlformats.org/officeDocument/2006/relationships/hyperlink" Target="http://www.afdc.energy.gov/locator/stations/" TargetMode="External"/><Relationship Id="rId130" Type="http://schemas.openxmlformats.org/officeDocument/2006/relationships/hyperlink" Target="http://www.greenbuttondata.org/" TargetMode="External"/><Relationship Id="rId135" Type="http://schemas.openxmlformats.org/officeDocument/2006/relationships/hyperlink" Target="http://www.xcelenergy.com/Partners/Municipalities/Community_Energy_Reports" TargetMode="External"/><Relationship Id="rId151" Type="http://schemas.openxmlformats.org/officeDocument/2006/relationships/hyperlink" Target="https://mn.gov/commerce/industries/energy/technical-assistance/" TargetMode="External"/><Relationship Id="rId156" Type="http://schemas.openxmlformats.org/officeDocument/2006/relationships/hyperlink" Target="https://www.seek.state.mn.us/resource/schools-energy-efficiency-see-program" TargetMode="External"/><Relationship Id="rId177" Type="http://schemas.openxmlformats.org/officeDocument/2006/relationships/hyperlink" Target="http://mn.gov/commerce-stat/pdfs/CHP%20pdfs/Technical%20and%20Economic%20Potential.pdf" TargetMode="External"/><Relationship Id="rId198" Type="http://schemas.openxmlformats.org/officeDocument/2006/relationships/hyperlink" Target="http://greenlandsbluewaters.net/" TargetMode="External"/><Relationship Id="rId172" Type="http://schemas.openxmlformats.org/officeDocument/2006/relationships/hyperlink" Target="http://ricecreekcommons.com/wp-content/uploads/2014/12/TCAAP-WP-FINAL.pdf" TargetMode="External"/><Relationship Id="rId193" Type="http://schemas.openxmlformats.org/officeDocument/2006/relationships/hyperlink" Target="http://mn.gov/deed/images/mn_cleanenergy-economy-profile-fullreport.pdf" TargetMode="External"/><Relationship Id="rId202" Type="http://schemas.openxmlformats.org/officeDocument/2006/relationships/hyperlink" Target="http://mnbioeconomy.org/the-coalition/" TargetMode="External"/><Relationship Id="rId207" Type="http://schemas.openxmlformats.org/officeDocument/2006/relationships/hyperlink" Target="http://www.mda.state.mn.us/news/releases/2015/nr20151028-biofuel.aspx" TargetMode="External"/><Relationship Id="rId223" Type="http://schemas.openxmlformats.org/officeDocument/2006/relationships/hyperlink" Target="http://ie.unc.edu/cleantech/" TargetMode="External"/><Relationship Id="rId228" Type="http://schemas.openxmlformats.org/officeDocument/2006/relationships/hyperlink" Target="https://www.nextenergy.org/" TargetMode="External"/><Relationship Id="rId13" Type="http://schemas.openxmlformats.org/officeDocument/2006/relationships/hyperlink" Target="http://www.mda.state.mn.us/news/government/~/media/Files/news/govrelations/legrpt-biodiesel16.pdf" TargetMode="External"/><Relationship Id="rId18" Type="http://schemas.openxmlformats.org/officeDocument/2006/relationships/hyperlink" Target="http://www.eia.gov/state/?sid=MN" TargetMode="External"/><Relationship Id="rId39" Type="http://schemas.openxmlformats.org/officeDocument/2006/relationships/hyperlink" Target="http://www.b3mn.org/2030energystandard/" TargetMode="External"/><Relationship Id="rId109" Type="http://schemas.openxmlformats.org/officeDocument/2006/relationships/hyperlink" Target="http://buyersprinciples.org/about-us/" TargetMode="External"/><Relationship Id="rId34" Type="http://schemas.openxmlformats.org/officeDocument/2006/relationships/hyperlink" Target="https://www.lazard.com/perspective/levelized-cost-of-energy-analysis-90/" TargetMode="External"/><Relationship Id="rId50" Type="http://schemas.openxmlformats.org/officeDocument/2006/relationships/hyperlink" Target="http://midwestenergynews.com/2015/12/11/a-year-after-launch-community-solar-picking-up-pace-in-minnesota/" TargetMode="External"/><Relationship Id="rId55" Type="http://schemas.openxmlformats.org/officeDocument/2006/relationships/hyperlink" Target="http://www.eia.gov/state/?sid=MN" TargetMode="External"/><Relationship Id="rId76" Type="http://schemas.openxmlformats.org/officeDocument/2006/relationships/hyperlink" Target="http://www.afdc.energy.gov/pdfs/pev_handbook.pdf" TargetMode="External"/><Relationship Id="rId97" Type="http://schemas.openxmlformats.org/officeDocument/2006/relationships/hyperlink" Target="https://www.eia.gov/todayinenergy/detail.cfm?id=15051" TargetMode="External"/><Relationship Id="rId104" Type="http://schemas.openxmlformats.org/officeDocument/2006/relationships/hyperlink" Target="http://mncee.org/Innovation-Exchange/ie/February/Customer-Choice-in-the-Form-of-Energy-Price-Signal/" TargetMode="External"/><Relationship Id="rId120" Type="http://schemas.openxmlformats.org/officeDocument/2006/relationships/hyperlink" Target="http://database.aceee.org/state/minnesota" TargetMode="External"/><Relationship Id="rId125" Type="http://schemas.openxmlformats.org/officeDocument/2006/relationships/hyperlink" Target="http://www.environmental-initiative.org/images/files/CSEO/RCII-2%20SB2030%20Zero%20Energy%20Transition%20Codes.pdf" TargetMode="External"/><Relationship Id="rId141" Type="http://schemas.openxmlformats.org/officeDocument/2006/relationships/hyperlink" Target="https://www.edockets.state.mn.us/EFiling/edockets/searchDocuments.do?method=showPoup&amp;documentId=%7b20B55EFE-85CD-4A4A-9AEA-7DA781BA691A%7d&amp;documentTitle=20131-82520-01" TargetMode="External"/><Relationship Id="rId146" Type="http://schemas.openxmlformats.org/officeDocument/2006/relationships/hyperlink" Target="http://www.greentechmedia.com/articles/read/Guest-Post-Operational-Efficiency-A-Hidden-Energy-Efficiency-Opportunity-" TargetMode="External"/><Relationship Id="rId167" Type="http://schemas.openxmlformats.org/officeDocument/2006/relationships/hyperlink" Target="http://dmc.mn/" TargetMode="External"/><Relationship Id="rId188" Type="http://schemas.openxmlformats.org/officeDocument/2006/relationships/hyperlink" Target="https://www.mda.state.mn.us/~/media/Files/agprofile.ashx" TargetMode="External"/><Relationship Id="rId7" Type="http://schemas.openxmlformats.org/officeDocument/2006/relationships/hyperlink" Target="http://mn.gov/deed/images/mn_cleanenergy-economy-profile-fullreport.pdf" TargetMode="External"/><Relationship Id="rId71" Type="http://schemas.openxmlformats.org/officeDocument/2006/relationships/hyperlink" Target="http://www.afdc.energy.gov/fuels/electricity_locations.html" TargetMode="External"/><Relationship Id="rId92" Type="http://schemas.openxmlformats.org/officeDocument/2006/relationships/hyperlink" Target="https://www.smartgrid.gov/recovery_act/overview/smart_grid_investment_grant_program.html" TargetMode="External"/><Relationship Id="rId162" Type="http://schemas.openxmlformats.org/officeDocument/2006/relationships/hyperlink" Target="http://www.instituteforgovernment.org.uk/publications/mindspace" TargetMode="External"/><Relationship Id="rId183" Type="http://schemas.openxmlformats.org/officeDocument/2006/relationships/hyperlink" Target="https://doe.icfwebservices.com/chpdb/" TargetMode="External"/><Relationship Id="rId213" Type="http://schemas.openxmlformats.org/officeDocument/2006/relationships/hyperlink" Target="http://www.rd.usda.gov/programs-services/all-programs/energy-programs" TargetMode="External"/><Relationship Id="rId218" Type="http://schemas.openxmlformats.org/officeDocument/2006/relationships/hyperlink" Target="http://energy.gov/eere/amo/ta" TargetMode="External"/><Relationship Id="rId234" Type="http://schemas.openxmlformats.org/officeDocument/2006/relationships/hyperlink" Target="http://www.cleanenergyresourceteams.org/solargardens" TargetMode="External"/><Relationship Id="rId239" Type="http://schemas.openxmlformats.org/officeDocument/2006/relationships/hyperlink" Target="http://www.solarroadmap.com/about/" TargetMode="External"/><Relationship Id="rId2" Type="http://schemas.openxmlformats.org/officeDocument/2006/relationships/hyperlink" Target="http://cta.ornl.gov/vtmarketreport/pdf/2014_vtmarketreport_full_doc.pdf" TargetMode="External"/><Relationship Id="rId29" Type="http://schemas.openxmlformats.org/officeDocument/2006/relationships/hyperlink" Target="https://www.eia.gov/state/rankings/" TargetMode="External"/><Relationship Id="rId24" Type="http://schemas.openxmlformats.org/officeDocument/2006/relationships/hyperlink" Target="http://www.eia.gov/state/?sid=MN" TargetMode="External"/><Relationship Id="rId40" Type="http://schemas.openxmlformats.org/officeDocument/2006/relationships/hyperlink" Target="http://programs.dsireusa.org/system/program/detail/2401" TargetMode="External"/><Relationship Id="rId45" Type="http://schemas.openxmlformats.org/officeDocument/2006/relationships/hyperlink" Target="https://www.revisor.mn.gov/statutes/?id=239.7911" TargetMode="External"/><Relationship Id="rId66" Type="http://schemas.openxmlformats.org/officeDocument/2006/relationships/hyperlink" Target="https://www.revisor.mn.gov/statutes/?id=216B.169" TargetMode="External"/><Relationship Id="rId87" Type="http://schemas.openxmlformats.org/officeDocument/2006/relationships/hyperlink" Target="http://www.eia.gov/state/?sid=MN" TargetMode="External"/><Relationship Id="rId110" Type="http://schemas.openxmlformats.org/officeDocument/2006/relationships/hyperlink" Target="http://www.wri.org/publication/corporate-renewable-energy-buyers-principles" TargetMode="External"/><Relationship Id="rId115" Type="http://schemas.openxmlformats.org/officeDocument/2006/relationships/hyperlink" Target="http://www.lec.leg.mn/projects/2025/102815WebinarSlides.pdf" TargetMode="External"/><Relationship Id="rId131" Type="http://schemas.openxmlformats.org/officeDocument/2006/relationships/hyperlink" Target="http://www.greenbuttondata.org/" TargetMode="External"/><Relationship Id="rId136" Type="http://schemas.openxmlformats.org/officeDocument/2006/relationships/hyperlink" Target="http://papers.ssrn.com/sol3/papers.cfm?abstract_id=2602974" TargetMode="External"/><Relationship Id="rId157" Type="http://schemas.openxmlformats.org/officeDocument/2006/relationships/hyperlink" Target="http://mnenergystarchallenge.com/" TargetMode="External"/><Relationship Id="rId178" Type="http://schemas.openxmlformats.org/officeDocument/2006/relationships/hyperlink" Target="http://aceee.org/topics/standby-rates" TargetMode="External"/><Relationship Id="rId61" Type="http://schemas.openxmlformats.org/officeDocument/2006/relationships/hyperlink" Target="http://www.nature.com/nclimate/journal/v5/n4/full/nclimate2564.html" TargetMode="External"/><Relationship Id="rId82" Type="http://schemas.openxmlformats.org/officeDocument/2006/relationships/hyperlink" Target="http://insideevs.com/chicago-transit-authority-adding-electric-buses/" TargetMode="External"/><Relationship Id="rId152" Type="http://schemas.openxmlformats.org/officeDocument/2006/relationships/hyperlink" Target="http://www.b3mn.org/operations/" TargetMode="External"/><Relationship Id="rId173" Type="http://schemas.openxmlformats.org/officeDocument/2006/relationships/hyperlink" Target="http://ricecreekcommons.com/wp-content/uploads/2014/12/TCAAP-WP-FINAL.pdf" TargetMode="External"/><Relationship Id="rId194" Type="http://schemas.openxmlformats.org/officeDocument/2006/relationships/hyperlink" Target="http://mn.gov/deed/business/help/first-stop/" TargetMode="External"/><Relationship Id="rId199" Type="http://schemas.openxmlformats.org/officeDocument/2006/relationships/hyperlink" Target="https://www.morris.umn.edu/sustainability/research/" TargetMode="External"/><Relationship Id="rId203" Type="http://schemas.openxmlformats.org/officeDocument/2006/relationships/hyperlink" Target="http://www.natureworksllc.com/" TargetMode="External"/><Relationship Id="rId208" Type="http://schemas.openxmlformats.org/officeDocument/2006/relationships/hyperlink" Target="http://www.betterenergy.org/sites/www.betterenergy.org/files/Summary_BioeconomyProductionIncentive.pdf" TargetMode="External"/><Relationship Id="rId229" Type="http://schemas.openxmlformats.org/officeDocument/2006/relationships/hyperlink" Target="http://greenstep.pca.state.mn.us/bestPracticesDetail.cfm?bpid=31" TargetMode="External"/><Relationship Id="rId19" Type="http://schemas.openxmlformats.org/officeDocument/2006/relationships/hyperlink" Target="http://mn.gov/commerce/media/news/index.jsp?id=17-156648" TargetMode="External"/><Relationship Id="rId224" Type="http://schemas.openxmlformats.org/officeDocument/2006/relationships/hyperlink" Target="http://coloradocleantech.com/" TargetMode="External"/><Relationship Id="rId240" Type="http://schemas.openxmlformats.org/officeDocument/2006/relationships/hyperlink" Target="http://www.dsireusa.org/" TargetMode="External"/><Relationship Id="rId14" Type="http://schemas.openxmlformats.org/officeDocument/2006/relationships/hyperlink" Target="http://www.eia.gov/state/?sid=MN" TargetMode="External"/><Relationship Id="rId30" Type="http://schemas.openxmlformats.org/officeDocument/2006/relationships/hyperlink" Target="http://www.wdsu.com/weather/states-with-the-coldest-winters/22668580" TargetMode="External"/><Relationship Id="rId35" Type="http://schemas.openxmlformats.org/officeDocument/2006/relationships/hyperlink" Target="http://www.renewableenergyworld.com/articles/2015/12/making-sense-of-the-itc-extension-for-wind-solar-and-bioenergy-too.html" TargetMode="External"/><Relationship Id="rId56" Type="http://schemas.openxmlformats.org/officeDocument/2006/relationships/hyperlink" Target="https://www.revisor.mn.gov/statutes/?id=239.7911&amp;format=pdf" TargetMode="External"/><Relationship Id="rId77" Type="http://schemas.openxmlformats.org/officeDocument/2006/relationships/hyperlink" Target="http://www.eei.org/issuesandpolicy/electrictransportation/FleetVehicles/Documents/EEI_UtilityFleetsLeadingTheCharge.pdf" TargetMode="External"/><Relationship Id="rId100" Type="http://schemas.openxmlformats.org/officeDocument/2006/relationships/hyperlink" Target="https://weatherbughome.com/honeywell/" TargetMode="External"/><Relationship Id="rId105" Type="http://schemas.openxmlformats.org/officeDocument/2006/relationships/hyperlink" Target="http://www.betterenergy.org/projects/e21-initiative" TargetMode="External"/><Relationship Id="rId126" Type="http://schemas.openxmlformats.org/officeDocument/2006/relationships/hyperlink" Target="http://www.environmental-initiative.org/images/files/CSEO/RCII-2%20SB2030%20Zero%20Energy%20Transition%20Codes.pdf" TargetMode="External"/><Relationship Id="rId147" Type="http://schemas.openxmlformats.org/officeDocument/2006/relationships/hyperlink" Target="http://evanmills.lbl.gov/pubs/pdf/cx-costs-benefits.pdf" TargetMode="External"/><Relationship Id="rId168" Type="http://schemas.openxmlformats.org/officeDocument/2006/relationships/hyperlink" Target="http://www.mncee.org/getattachment/What-We-Do/Engagement-and-Education/TEST/Sustainable-DMC.pdf.aspx" TargetMode="External"/><Relationship Id="rId8" Type="http://schemas.openxmlformats.org/officeDocument/2006/relationships/hyperlink" Target="http://www.rmi.org/community_energy_guide" TargetMode="External"/><Relationship Id="rId51" Type="http://schemas.openxmlformats.org/officeDocument/2006/relationships/hyperlink" Target="http://www.betterenergy.org/projects/e21-initiative" TargetMode="External"/><Relationship Id="rId72" Type="http://schemas.openxmlformats.org/officeDocument/2006/relationships/hyperlink" Target="http://blog.rmi.org/blog_2015_10_29_what_electric_vehicles_can_learn_from_the_solar_market" TargetMode="External"/><Relationship Id="rId93" Type="http://schemas.openxmlformats.org/officeDocument/2006/relationships/hyperlink" Target="https://www.smartgrid.gov/recovery_act/overview/consumer_behavior_studies.html" TargetMode="External"/><Relationship Id="rId98" Type="http://schemas.openxmlformats.org/officeDocument/2006/relationships/hyperlink" Target="http://www.greentechmedia.com/articles/read/NextEra-on-Storage-Post-2020-There-May-Never-be-Another-Peaker-Built-in-t" TargetMode="External"/><Relationship Id="rId121" Type="http://schemas.openxmlformats.org/officeDocument/2006/relationships/hyperlink" Target="http://www.eia.gov/state/?sid=MN" TargetMode="External"/><Relationship Id="rId142" Type="http://schemas.openxmlformats.org/officeDocument/2006/relationships/hyperlink" Target="http://database.aceee.org/city/energy-data-access" TargetMode="External"/><Relationship Id="rId163" Type="http://schemas.openxmlformats.org/officeDocument/2006/relationships/hyperlink" Target="http://www.toolsofchange.com/en/home/" TargetMode="External"/><Relationship Id="rId184" Type="http://schemas.openxmlformats.org/officeDocument/2006/relationships/hyperlink" Target="http://www.eia.gov/state/?sid=MN" TargetMode="External"/><Relationship Id="rId189" Type="http://schemas.openxmlformats.org/officeDocument/2006/relationships/hyperlink" Target="http://mn.gov/commerce-stat/pdfs/card-report-aggregate-eco-impact-cip-2008-2013.pdf" TargetMode="External"/><Relationship Id="rId219" Type="http://schemas.openxmlformats.org/officeDocument/2006/relationships/hyperlink" Target="http://energy.gov/eere/amo/utilities" TargetMode="External"/><Relationship Id="rId3" Type="http://schemas.openxmlformats.org/officeDocument/2006/relationships/hyperlink" Target="https://www.lazard.com/perspective/levelized-cost-of-energy-analysis-90/" TargetMode="External"/><Relationship Id="rId214" Type="http://schemas.openxmlformats.org/officeDocument/2006/relationships/hyperlink" Target="http://www.seventhwave.org/sites/default/files/261-1.pdf" TargetMode="External"/><Relationship Id="rId230" Type="http://schemas.openxmlformats.org/officeDocument/2006/relationships/hyperlink" Target="http://www.research.umn.edu/convergence/serendipity.html" TargetMode="External"/><Relationship Id="rId235" Type="http://schemas.openxmlformats.org/officeDocument/2006/relationships/hyperlink" Target="https://mn.gov/commerce/industries/energy/technical-assistance/" TargetMode="External"/><Relationship Id="rId25" Type="http://schemas.openxmlformats.org/officeDocument/2006/relationships/hyperlink" Target="http://www.eia.gov/state/?sid=MN" TargetMode="External"/><Relationship Id="rId46" Type="http://schemas.openxmlformats.org/officeDocument/2006/relationships/hyperlink" Target="http://www.mnseia.org/programs/made-in-minnesota" TargetMode="External"/><Relationship Id="rId67" Type="http://schemas.openxmlformats.org/officeDocument/2006/relationships/hyperlink" Target="http://www.dakotaelectric.com/residential/programs/electric-vehicles" TargetMode="External"/><Relationship Id="rId116" Type="http://schemas.openxmlformats.org/officeDocument/2006/relationships/hyperlink" Target="https://www.wri.org/sites/default/files/green_tarriffs_us_electricity_markets_0715.pdf" TargetMode="External"/><Relationship Id="rId137" Type="http://schemas.openxmlformats.org/officeDocument/2006/relationships/hyperlink" Target="https://www.cards.commerce.state.mn.us/CARDS/security/search.do?method=showPoup&amp;documentId=%7b20FCCD12-7BD9-4055-B01E-6898CD7C9CD3%7d&amp;documentTitle=148413&amp;documentType=6" TargetMode="External"/><Relationship Id="rId158" Type="http://schemas.openxmlformats.org/officeDocument/2006/relationships/hyperlink" Target="http://www.mvec.net/community/challenge/" TargetMode="External"/><Relationship Id="rId20" Type="http://schemas.openxmlformats.org/officeDocument/2006/relationships/hyperlink" Target="https://www.pca.state.mn.us/air/greenhouse-gas-emissions-data" TargetMode="External"/><Relationship Id="rId41" Type="http://schemas.openxmlformats.org/officeDocument/2006/relationships/hyperlink" Target="http://programs.dsireusa.org/system/program/detail/2401" TargetMode="External"/><Relationship Id="rId62" Type="http://schemas.openxmlformats.org/officeDocument/2006/relationships/hyperlink" Target="http://www.afdc.energy.gov/laws/law/US/409" TargetMode="External"/><Relationship Id="rId83" Type="http://schemas.openxmlformats.org/officeDocument/2006/relationships/hyperlink" Target="http://cphpost.dk/news/copenhagen-to-test-new-electric-buses.html" TargetMode="External"/><Relationship Id="rId88" Type="http://schemas.openxmlformats.org/officeDocument/2006/relationships/hyperlink" Target="http://mn.gov/commerce/media/news/index.jsp?id=17156648" TargetMode="External"/><Relationship Id="rId111" Type="http://schemas.openxmlformats.org/officeDocument/2006/relationships/hyperlink" Target="http://apps3.eere.energy.gov/greenpower/buying/buying_power.shtml?state=MN" TargetMode="External"/><Relationship Id="rId132" Type="http://schemas.openxmlformats.org/officeDocument/2006/relationships/hyperlink" Target="https://www.edockets.state.mn.us/EFiling/edockets/searchDocuments.do?method=showPoup&amp;documentId=%7b20B55EFE-85CD-4A4A-9AEA-7DA781BA691A%7d&amp;documentTitle=20131-82520-01" TargetMode="External"/><Relationship Id="rId153" Type="http://schemas.openxmlformats.org/officeDocument/2006/relationships/hyperlink" Target="https://www4.eere.energy.gov/seeaction/topic-category/behavior-based-energy-efficiency" TargetMode="External"/><Relationship Id="rId174" Type="http://schemas.openxmlformats.org/officeDocument/2006/relationships/hyperlink" Target="https://www.stpaul.gov/departments/planning-economic-development/planning/ford-site-21st-century-community" TargetMode="External"/><Relationship Id="rId179" Type="http://schemas.openxmlformats.org/officeDocument/2006/relationships/hyperlink" Target="http://mn.gov/commerce/industries/energy/distributed-energy/combined-heat-power.jsp" TargetMode="External"/><Relationship Id="rId195" Type="http://schemas.openxmlformats.org/officeDocument/2006/relationships/hyperlink" Target="http://www.clcmn.edu/ag-energy-center/renewable-energy/" TargetMode="External"/><Relationship Id="rId209" Type="http://schemas.openxmlformats.org/officeDocument/2006/relationships/hyperlink" Target="http://www.mda.state.mn.us/grants/agri.aspx" TargetMode="External"/><Relationship Id="rId190" Type="http://schemas.openxmlformats.org/officeDocument/2006/relationships/hyperlink" Target="http://mn.gov/commerce/industries/energy/efficiency/" TargetMode="External"/><Relationship Id="rId204" Type="http://schemas.openxmlformats.org/officeDocument/2006/relationships/hyperlink" Target="http://www.centralmnethanol.com/" TargetMode="External"/><Relationship Id="rId220" Type="http://schemas.openxmlformats.org/officeDocument/2006/relationships/hyperlink" Target="https://iac.university/" TargetMode="External"/><Relationship Id="rId225" Type="http://schemas.openxmlformats.org/officeDocument/2006/relationships/hyperlink" Target="http://coloradocleantech.com/wp-content/uploads/2014/12/Cleantech-Action-Plan-10_12_2010.pdf" TargetMode="External"/><Relationship Id="rId241" Type="http://schemas.openxmlformats.org/officeDocument/2006/relationships/hyperlink" Target="http://mn.gov/commerce-stat/pdfs/mrits-report-2014.pdf" TargetMode="External"/><Relationship Id="rId15" Type="http://schemas.openxmlformats.org/officeDocument/2006/relationships/hyperlink" Target="http://mn.gov/commerce/media/news/index.jsp?id=17-156648" TargetMode="External"/><Relationship Id="rId36" Type="http://schemas.openxmlformats.org/officeDocument/2006/relationships/hyperlink" Target="http://www.brattle.com/system/publications/pdfs/000/004/982/original/Coal_Plant_Retirements_and_Market_Impacts.pdf?1391611874" TargetMode="External"/><Relationship Id="rId57" Type="http://schemas.openxmlformats.org/officeDocument/2006/relationships/hyperlink" Target="http://www.mda.state.mn.us/~/media/Files/food/business/economics/plantsreport.ashx" TargetMode="External"/><Relationship Id="rId106" Type="http://schemas.openxmlformats.org/officeDocument/2006/relationships/hyperlink" Target="http://www.betterenergy.org/e21-Phase1-Report" TargetMode="External"/><Relationship Id="rId127" Type="http://schemas.openxmlformats.org/officeDocument/2006/relationships/hyperlink" Target="http://www.sustainablebuildingpolicy.umn.edu/saintpaul/legislation.html" TargetMode="External"/><Relationship Id="rId10" Type="http://schemas.openxmlformats.org/officeDocument/2006/relationships/hyperlink" Target="https://www.edockets.state.mn.us/EFiling/edockets/searchDocuments.do?method=showPoup&amp;documentId=%7bAB863C43-6E56-4758-91BB-2B8AAD2ED4BA%7d&amp;documentTitle=20156-111195-01" TargetMode="External"/><Relationship Id="rId31" Type="http://schemas.openxmlformats.org/officeDocument/2006/relationships/hyperlink" Target="http://www.census.gov/popest/data/historical/index.html" TargetMode="External"/><Relationship Id="rId52" Type="http://schemas.openxmlformats.org/officeDocument/2006/relationships/hyperlink" Target="https://www.edockets.state.mn.us/EFiling/edockets/searchDocuments.do?method=eDocketsResult&amp;docketYear=15&amp;docketNumber=556" TargetMode="External"/><Relationship Id="rId73" Type="http://schemas.openxmlformats.org/officeDocument/2006/relationships/hyperlink" Target="https://transportevolved.com/2015/12/23/following-success-with-nissan-leaf-deal-drive-electric-northern-colorado-announces-bmw-i3-for-29994-after-incentives/" TargetMode="External"/><Relationship Id="rId78" Type="http://schemas.openxmlformats.org/officeDocument/2006/relationships/hyperlink" Target="http://www1.eere.energy.gov/vehiclesandfuels/epact/compliance_methods.html" TargetMode="External"/><Relationship Id="rId94" Type="http://schemas.openxmlformats.org/officeDocument/2006/relationships/hyperlink" Target="http://www.epri.com/abstracts/Pages/ProductAbstract.aspx?ProductId=000000003002007047" TargetMode="External"/><Relationship Id="rId99" Type="http://schemas.openxmlformats.org/officeDocument/2006/relationships/hyperlink" Target="http://mn.gov/commerce-stat/pdfs/utility-managed-storge-study.pdf" TargetMode="External"/><Relationship Id="rId101" Type="http://schemas.openxmlformats.org/officeDocument/2006/relationships/hyperlink" Target="http://cleantechnica.com/2016/02/01/us-supreme-court-upholds-ferc-order-745-in-favor-of-demand-response/" TargetMode="External"/><Relationship Id="rId122" Type="http://schemas.openxmlformats.org/officeDocument/2006/relationships/hyperlink" Target="http://database.aceee.org/state/minnesota" TargetMode="External"/><Relationship Id="rId143" Type="http://schemas.openxmlformats.org/officeDocument/2006/relationships/hyperlink" Target="http://www1.eere.energy.gov/buildings/betterbuildings/accelerators/energy.html" TargetMode="External"/><Relationship Id="rId148" Type="http://schemas.openxmlformats.org/officeDocument/2006/relationships/hyperlink" Target="http://www.cacx.org/resources/documents/CA_Commissioning_Guide_Existing.pdf" TargetMode="External"/><Relationship Id="rId164" Type="http://schemas.openxmlformats.org/officeDocument/2006/relationships/hyperlink" Target="http://www.cbsm.com/public/world.lasso" TargetMode="External"/><Relationship Id="rId169" Type="http://schemas.openxmlformats.org/officeDocument/2006/relationships/hyperlink" Target="http://dmc.mn/" TargetMode="External"/><Relationship Id="rId185" Type="http://schemas.openxmlformats.org/officeDocument/2006/relationships/hyperlink" Target="http://www.mda.state.mn.us/renewable/ethanol.aspx" TargetMode="External"/><Relationship Id="rId4" Type="http://schemas.openxmlformats.org/officeDocument/2006/relationships/hyperlink" Target="https://www.navigantresearch.com/research/energy-and-environment-consumer-survey" TargetMode="External"/><Relationship Id="rId9" Type="http://schemas.openxmlformats.org/officeDocument/2006/relationships/hyperlink" Target="https://www.aee.net/articles/aee-releases-advanced-energy-now-2016-market-report" TargetMode="External"/><Relationship Id="rId180" Type="http://schemas.openxmlformats.org/officeDocument/2006/relationships/hyperlink" Target="http://www.mntap.umn.edu/index.htm" TargetMode="External"/><Relationship Id="rId210" Type="http://schemas.openxmlformats.org/officeDocument/2006/relationships/hyperlink" Target="http://mn.gov/irrrb" TargetMode="External"/><Relationship Id="rId215" Type="http://schemas.openxmlformats.org/officeDocument/2006/relationships/hyperlink" Target="http://energy.gov/sites/prod/files/2015/06/f23/EXEC-2014-005846_6%20Report_signed_v2.pdf" TargetMode="External"/><Relationship Id="rId236" Type="http://schemas.openxmlformats.org/officeDocument/2006/relationships/hyperlink" Target="https://www.pca.state.mn.us/quick-links/technical-assistance" TargetMode="External"/><Relationship Id="rId26" Type="http://schemas.openxmlformats.org/officeDocument/2006/relationships/hyperlink" Target="http://www.eia.gov/state/?sid=MN" TargetMode="External"/><Relationship Id="rId231" Type="http://schemas.openxmlformats.org/officeDocument/2006/relationships/hyperlink" Target="http://www.rmi.org/community_energy_guide" TargetMode="External"/><Relationship Id="rId47" Type="http://schemas.openxmlformats.org/officeDocument/2006/relationships/hyperlink" Target="http://www.mnseia.org/programs/made-in-minnesota" TargetMode="External"/><Relationship Id="rId68" Type="http://schemas.openxmlformats.org/officeDocument/2006/relationships/hyperlink" Target="https://www.connexusenergy.com/residential/programs-rates/electric-vehicle/" TargetMode="External"/><Relationship Id="rId89" Type="http://schemas.openxmlformats.org/officeDocument/2006/relationships/hyperlink" Target="https://www.eia.gov/electricity/data/eia861/" TargetMode="External"/><Relationship Id="rId112" Type="http://schemas.openxmlformats.org/officeDocument/2006/relationships/hyperlink" Target="http://www.xcelenergy.com/Company/About_Xcel_Energy/Media_Room/News_Releases/Xcel_Energy_proposes_option_that_allows_customers_to_get_energy_exclusively_from_wind_and_solar_energy" TargetMode="External"/><Relationship Id="rId133" Type="http://schemas.openxmlformats.org/officeDocument/2006/relationships/hyperlink" Target="http://www.xcelenergy.com/Programs_and_Rebates/Business_Programs_and_Rebates/New_Construction_and_Whole_Building/Energy_Benchmarking" TargetMode="External"/><Relationship Id="rId154" Type="http://schemas.openxmlformats.org/officeDocument/2006/relationships/hyperlink" Target="https://www.cards.commerce.state.mn.us/CARDS/security/search.do?method=showPoup&amp;documentId=%7b971F1044-CF64-41EA-A714-7AEF32F2255B%7d&amp;documentTitle=213328&amp;documentType=6" TargetMode="External"/><Relationship Id="rId175" Type="http://schemas.openxmlformats.org/officeDocument/2006/relationships/hyperlink" Target="https://www.stpaul.gov/departments/planning-economic-development/planning/snelling-midway-redevelopment-site" TargetMode="External"/><Relationship Id="rId196" Type="http://schemas.openxmlformats.org/officeDocument/2006/relationships/hyperlink" Target="http://www.nrri.umn.edu/cartd/lce/default.htm" TargetMode="External"/><Relationship Id="rId200" Type="http://schemas.openxmlformats.org/officeDocument/2006/relationships/hyperlink" Target="http://www.auri.org/help/research/strategic-initiatives/" TargetMode="External"/><Relationship Id="rId16" Type="http://schemas.openxmlformats.org/officeDocument/2006/relationships/hyperlink" Target="http://www.eia.gov/state/?sid=MN" TargetMode="External"/><Relationship Id="rId221" Type="http://schemas.openxmlformats.org/officeDocument/2006/relationships/hyperlink" Target="http://energy.gov/eere/amo/software-tools" TargetMode="External"/><Relationship Id="rId37" Type="http://schemas.openxmlformats.org/officeDocument/2006/relationships/hyperlink" Target="http://www.eesi.org/files/FactSheet_Vehicle_Emissions_081815.pdf" TargetMode="External"/><Relationship Id="rId58" Type="http://schemas.openxmlformats.org/officeDocument/2006/relationships/hyperlink" Target="http://www.eei.org/issuesandpolicy/electrictransportation/FleetVehicles/Documents/EEI_UtilityFleetsLeadingTheCharge.pdf" TargetMode="External"/><Relationship Id="rId79" Type="http://schemas.openxmlformats.org/officeDocument/2006/relationships/hyperlink" Target="http://www.duluthnewstribune.com/news/3670485-duluth-receive-six-electric-buses" TargetMode="External"/><Relationship Id="rId102" Type="http://schemas.openxmlformats.org/officeDocument/2006/relationships/hyperlink" Target="http://sites.energetics.com/madri/pdfs/ArticleReport2441.pdf" TargetMode="External"/><Relationship Id="rId123" Type="http://schemas.openxmlformats.org/officeDocument/2006/relationships/hyperlink" Target="https://www.energycodes.gov/adoption/states" TargetMode="External"/><Relationship Id="rId144" Type="http://schemas.openxmlformats.org/officeDocument/2006/relationships/hyperlink" Target="https://www.edockets.state.mn.us/EFiling/edockets/searchDocuments.do?method=showPoup&amp;documentId=%7B06E46F50-73D0-4323-BBE4-3444BB4CE133%7D&amp;documentTitle=201510-114859-01" TargetMode="External"/><Relationship Id="rId90" Type="http://schemas.openxmlformats.org/officeDocument/2006/relationships/hyperlink" Target="https://www.edockets.state.mn.us/EFiling/edockets/searchDocuments.do?method=eDocketsResult&amp;docketYear=15&amp;docketNumber=556" TargetMode="External"/><Relationship Id="rId165" Type="http://schemas.openxmlformats.org/officeDocument/2006/relationships/hyperlink" Target="https://www.google.com/url?q=http://www.decentralized-energy.com/articles/2016/02/un-initiative-seeks-to-bring-district-energy-into-the-mainstream.html&amp;sa=D&amp;ust=1458180731624000&amp;usg=AFQjCNHR1iG0A986Z7RZfYvzIn3YNNx2dA" TargetMode="External"/><Relationship Id="rId186" Type="http://schemas.openxmlformats.org/officeDocument/2006/relationships/hyperlink" Target="http://www.mda.state.mn.us/news/government/~/media/Files/news/govrelations/legrpt-biodiesel16.pdf" TargetMode="External"/><Relationship Id="rId211" Type="http://schemas.openxmlformats.org/officeDocument/2006/relationships/hyperlink" Target="https://www.revisor.mn.gov/statutes/?id=41A.14" TargetMode="External"/><Relationship Id="rId232" Type="http://schemas.openxmlformats.org/officeDocument/2006/relationships/hyperlink" Target="https://emp.lbl.gov/sites/all/files/lbnl-6140e.pdf" TargetMode="External"/><Relationship Id="rId27" Type="http://schemas.openxmlformats.org/officeDocument/2006/relationships/hyperlink" Target="http://mn.gov/commerce/media/news/index.jsp?id=17-156648" TargetMode="External"/><Relationship Id="rId48" Type="http://schemas.openxmlformats.org/officeDocument/2006/relationships/hyperlink" Target="http://www.cleanenergyresourceteams.org/solargardens" TargetMode="External"/><Relationship Id="rId69" Type="http://schemas.openxmlformats.org/officeDocument/2006/relationships/hyperlink" Target="http://www.energywisemn.com/revolt/" TargetMode="External"/><Relationship Id="rId113" Type="http://schemas.openxmlformats.org/officeDocument/2006/relationships/hyperlink" Target="http://www.betterenergy.org/e21-Phase1-Report" TargetMode="External"/><Relationship Id="rId134" Type="http://schemas.openxmlformats.org/officeDocument/2006/relationships/hyperlink" Target="https://mn.b3benchmarking.com/News" TargetMode="External"/><Relationship Id="rId80" Type="http://schemas.openxmlformats.org/officeDocument/2006/relationships/hyperlink" Target="http://www.metrotransit.org/metro-transit-putting-electric-buses-to-the-test" TargetMode="External"/><Relationship Id="rId155" Type="http://schemas.openxmlformats.org/officeDocument/2006/relationships/hyperlink" Target="http://www.xcelenergy.com/Community/Community_Projects/Partners_In_Energy_Community_Programs" TargetMode="External"/><Relationship Id="rId176" Type="http://schemas.openxmlformats.org/officeDocument/2006/relationships/hyperlink" Target="http://aceee.org/topics/combined-heat-and-power-chp" TargetMode="External"/><Relationship Id="rId197" Type="http://schemas.openxmlformats.org/officeDocument/2006/relationships/hyperlink" Target="http://www.cinram.umn.edu/projects/forevergreen/resear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2" Type="http://schemas.openxmlformats.org/officeDocument/2006/relationships/hyperlink" Target="http://mn.gov/commerce-stat/pdfs/CHP%20pdfs/CHPTechnicalandEconomicPotential.pdf" TargetMode="External"/><Relationship Id="rId1" Type="http://schemas.openxmlformats.org/officeDocument/2006/relationships/hyperlink" Target="https://www.mncee.org/blog/december-2012/existing-building-commissioning-case-study-minne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owens:Desktop:2025%20MEP%20Baseline%20Metrics_04-20-2016_CM.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cowens:Downloads:2025%20MEP%20Baseline%20Metrics_04-20-2016%20(1).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cowens:Desktop:2025%20MEP%20Baseline%20Metrics_04-20-2016_CM.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cowens:Desktop:2025%20MEP%20Baseline%20Metrics_04-20-2016_CM.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cowens:Desktop:2025%20MEP%20Baseline%20Metrics_04-20-2016_CM.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Macintosh%20HD:Users:cowens:Desktop:2025%20MEP%20Baseline%20Metrics_04-20-2016_CM.xlsx" TargetMode="External"/><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cowens:Desktop:2025%20MEP%20Baseline%20Metrics_04-20-2016_C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a:ln>
              <a:noFill/>
            </a:ln>
          </c:spPr>
          <c:dPt>
            <c:idx val="0"/>
            <c:bubble3D val="0"/>
            <c:spPr>
              <a:solidFill>
                <a:srgbClr val="225860"/>
              </a:solidFill>
              <a:ln w="19050">
                <a:noFill/>
              </a:ln>
              <a:effectLst/>
            </c:spPr>
          </c:dPt>
          <c:dPt>
            <c:idx val="1"/>
            <c:bubble3D val="0"/>
            <c:spPr>
              <a:solidFill>
                <a:srgbClr val="33838F"/>
              </a:solidFill>
              <a:ln w="19050">
                <a:noFill/>
              </a:ln>
              <a:effectLst/>
            </c:spPr>
          </c:dPt>
          <c:dPt>
            <c:idx val="2"/>
            <c:bubble3D val="0"/>
            <c:spPr>
              <a:solidFill>
                <a:srgbClr val="A1D8CC"/>
              </a:solidFill>
              <a:ln w="19050">
                <a:noFill/>
              </a:ln>
              <a:effectLst/>
            </c:spPr>
          </c:dPt>
          <c:dPt>
            <c:idx val="3"/>
            <c:bubble3D val="0"/>
            <c:spPr>
              <a:solidFill>
                <a:srgbClr val="272761"/>
              </a:solidFill>
              <a:ln w="19050">
                <a:noFill/>
              </a:ln>
              <a:effectLst/>
            </c:spPr>
          </c:dPt>
          <c:dPt>
            <c:idx val="4"/>
            <c:bubble3D val="0"/>
            <c:spPr>
              <a:solidFill>
                <a:srgbClr val="002A23"/>
              </a:solidFill>
              <a:ln w="19050">
                <a:noFill/>
              </a:ln>
              <a:effectLst/>
            </c:spPr>
          </c:dPt>
          <c:dPt>
            <c:idx val="5"/>
            <c:bubble3D val="0"/>
            <c:spPr>
              <a:solidFill>
                <a:schemeClr val="accent3"/>
              </a:solidFill>
              <a:ln w="19050">
                <a:noFill/>
              </a:ln>
              <a:effectLst/>
            </c:spPr>
          </c:dPt>
          <c:dPt>
            <c:idx val="6"/>
            <c:bubble3D val="0"/>
            <c:spPr>
              <a:solidFill>
                <a:schemeClr val="bg1">
                  <a:lumMod val="85000"/>
                </a:schemeClr>
              </a:solidFill>
              <a:ln w="19050">
                <a:noFill/>
              </a:ln>
              <a:effectLst/>
            </c:spPr>
          </c:dPt>
          <c:dLbls>
            <c:dLbl>
              <c:idx val="0"/>
              <c:layout>
                <c:manualLayout>
                  <c:x val="-0.181440465963084"/>
                  <c:y val="0.15641337348505399"/>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2760482462251699"/>
                  <c:y val="-0.2010240540073560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2911743292137701"/>
                  <c:y val="-0.25083337447239201"/>
                </c:manualLayout>
              </c:layout>
              <c:tx>
                <c:rich>
                  <a:bodyPr/>
                  <a:lstStyle/>
                  <a:p>
                    <a:r>
                      <a:rPr lang="en-US" sz="800" b="0">
                        <a:solidFill>
                          <a:srgbClr val="4C4C4C"/>
                        </a:solidFill>
                      </a:rPr>
                      <a:t>Natural Gas
26%</a:t>
                    </a:r>
                    <a:endParaRPr lang="en-US">
                      <a:solidFill>
                        <a:srgbClr val="4C4C4C"/>
                      </a:solidFill>
                    </a:endParaRP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01701662292213"/>
                  <c:y val="-8.0577427821522992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36344324146982"/>
                  <c:y val="6.487368766404190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2.94671824876057E-2"/>
                  <c:y val="5.6143021184851899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bg1">
                            <a:lumMod val="10000"/>
                            <a:lumOff val="90000"/>
                          </a:schemeClr>
                        </a:solidFill>
                        <a:latin typeface="+mj-lt"/>
                        <a:ea typeface="+mn-ea"/>
                        <a:cs typeface="+mn-cs"/>
                      </a:defRPr>
                    </a:pPr>
                    <a:r>
                      <a:rPr lang="en-US" sz="800" b="0">
                        <a:solidFill>
                          <a:schemeClr val="tx2"/>
                        </a:solidFill>
                      </a:rPr>
                      <a:t>Other Renewables
5%</a:t>
                    </a:r>
                    <a:endParaRPr lang="en-US">
                      <a:solidFill>
                        <a:schemeClr val="tx2"/>
                      </a:solidFill>
                    </a:endParaRPr>
                  </a:p>
                </c:rich>
              </c:tx>
              <c:spPr>
                <a:noFill/>
                <a:ln>
                  <a:noFill/>
                </a:ln>
                <a:effectLst/>
              </c:spPr>
              <c:dLblPos val="bestFit"/>
              <c:showLegendKey val="0"/>
              <c:showVal val="0"/>
              <c:showCatName val="1"/>
              <c:showSerName val="0"/>
              <c:showPercent val="1"/>
              <c:showBubbleSize val="0"/>
              <c:extLst>
                <c:ext xmlns:c15="http://schemas.microsoft.com/office/drawing/2012/chart" uri="{CE6537A1-D6FC-4f65-9D91-7224C49458BB}">
                  <c15:layout>
                    <c:manualLayout>
                      <c:w val="0.18533546587926508"/>
                      <c:h val="0.15464293525809275"/>
                    </c:manualLayout>
                  </c15:layout>
                </c:ext>
              </c:extLst>
            </c:dLbl>
            <c:dLbl>
              <c:idx val="6"/>
              <c:layout>
                <c:manualLayout>
                  <c:x val="0.119011415615706"/>
                  <c:y val="0.15351214424999399"/>
                </c:manualLayout>
              </c:layout>
              <c:spPr>
                <a:noFill/>
                <a:ln>
                  <a:noFill/>
                </a:ln>
                <a:effectLst/>
              </c:spPr>
              <c:txPr>
                <a:bodyPr rot="0" spcFirstLastPara="1" vertOverflow="ellipsis" vert="horz" wrap="square" lIns="38100" tIns="19050" rIns="38100" bIns="19050" anchor="ctr" anchorCtr="0">
                  <a:noAutofit/>
                </a:bodyPr>
                <a:lstStyle/>
                <a:p>
                  <a:pPr algn="ctr" rtl="0">
                    <a:defRPr lang="en-US" sz="800" b="0" i="0" u="none" strike="noStrike" kern="1200" baseline="0">
                      <a:solidFill>
                        <a:schemeClr val="bg1">
                          <a:lumMod val="10000"/>
                          <a:lumOff val="90000"/>
                        </a:schemeClr>
                      </a:solidFill>
                      <a:latin typeface="+mj-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652777777777777"/>
                      <c:h val="0.15067448600174979"/>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lumMod val="10000"/>
                        <a:lumOff val="90000"/>
                      </a:schemeClr>
                    </a:solidFill>
                    <a:latin typeface="+mj-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Minnesota_Energy_Consumption_Es!$A$25:$A$31</c:f>
              <c:strCache>
                <c:ptCount val="7"/>
                <c:pt idx="0">
                  <c:v>Petroleum</c:v>
                </c:pt>
                <c:pt idx="1">
                  <c:v>Coal</c:v>
                </c:pt>
                <c:pt idx="2">
                  <c:v>Natural Gas</c:v>
                </c:pt>
                <c:pt idx="3">
                  <c:v>Nuclear</c:v>
                </c:pt>
                <c:pt idx="4">
                  <c:v>Biomass</c:v>
                </c:pt>
                <c:pt idx="5">
                  <c:v>Other Renewables</c:v>
                </c:pt>
                <c:pt idx="6">
                  <c:v>Electricity Imports</c:v>
                </c:pt>
              </c:strCache>
            </c:strRef>
          </c:cat>
          <c:val>
            <c:numRef>
              <c:f>Minnesota_Energy_Consumption_Es!$B$25:$B$31</c:f>
              <c:numCache>
                <c:formatCode>General</c:formatCode>
                <c:ptCount val="7"/>
                <c:pt idx="0">
                  <c:v>583.50000000000011</c:v>
                </c:pt>
                <c:pt idx="1">
                  <c:v>267.7</c:v>
                </c:pt>
                <c:pt idx="2">
                  <c:v>478.8</c:v>
                </c:pt>
                <c:pt idx="3">
                  <c:v>111.9</c:v>
                </c:pt>
                <c:pt idx="4">
                  <c:v>148.4</c:v>
                </c:pt>
                <c:pt idx="5">
                  <c:v>85.300000000000011</c:v>
                </c:pt>
                <c:pt idx="6">
                  <c:v>184.2</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52529892096803E-2"/>
          <c:y val="0.21013123359580099"/>
          <c:w val="0.90248450714494"/>
          <c:h val="0.71765341832271001"/>
        </c:manualLayout>
      </c:layout>
      <c:barChart>
        <c:barDir val="col"/>
        <c:grouping val="clustered"/>
        <c:varyColors val="0"/>
        <c:ser>
          <c:idx val="0"/>
          <c:order val="0"/>
          <c:tx>
            <c:v>Minnesota</c:v>
          </c:tx>
          <c:spPr>
            <a:solidFill>
              <a:srgbClr val="A2CF49"/>
            </a:solidFill>
            <a:ln>
              <a:noFill/>
            </a:ln>
            <a:effectLst/>
          </c:spPr>
          <c:invertIfNegative val="0"/>
          <c:cat>
            <c:numRef>
              <c:f>'Energy by Source'!$A$52:$A$60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'Energy by Source'!$AW$52:$AW$60</c:f>
              <c:numCache>
                <c:formatCode>0%</c:formatCode>
                <c:ptCount val="9"/>
                <c:pt idx="0">
                  <c:v>6.6211273666092904E-2</c:v>
                </c:pt>
                <c:pt idx="1">
                  <c:v>6.9733180553281995E-2</c:v>
                </c:pt>
                <c:pt idx="2">
                  <c:v>7.9447140746992995E-2</c:v>
                </c:pt>
                <c:pt idx="3">
                  <c:v>9.2686496941816104E-2</c:v>
                </c:pt>
                <c:pt idx="4">
                  <c:v>0.112632755729458</c:v>
                </c:pt>
                <c:pt idx="5">
                  <c:v>0.118150500592098</c:v>
                </c:pt>
                <c:pt idx="6">
                  <c:v>0.123698548848249</c:v>
                </c:pt>
                <c:pt idx="7">
                  <c:v>0.12676056338028199</c:v>
                </c:pt>
                <c:pt idx="8">
                  <c:v>0.125658672975589</c:v>
                </c:pt>
              </c:numCache>
            </c:numRef>
          </c:val>
        </c:ser>
        <c:dLbls>
          <c:showLegendKey val="0"/>
          <c:showVal val="0"/>
          <c:showCatName val="0"/>
          <c:showSerName val="0"/>
          <c:showPercent val="0"/>
          <c:showBubbleSize val="0"/>
        </c:dLbls>
        <c:gapWidth val="50"/>
        <c:overlap val="-24"/>
        <c:axId val="206240384"/>
        <c:axId val="211267968"/>
      </c:barChart>
      <c:lineChart>
        <c:grouping val="standard"/>
        <c:varyColors val="0"/>
        <c:ser>
          <c:idx val="1"/>
          <c:order val="1"/>
          <c:tx>
            <c:v>United States</c:v>
          </c:tx>
          <c:spPr>
            <a:ln w="31750" cap="rnd">
              <a:solidFill>
                <a:srgbClr val="455F51"/>
              </a:solidFill>
              <a:round/>
            </a:ln>
            <a:effectLst/>
          </c:spPr>
          <c:marker>
            <c:symbol val="none"/>
          </c:marker>
          <c:cat>
            <c:numRef>
              <c:f>[3]Sheet6!$A$47:$A$55</c:f>
              <c:numCache>
                <c:formatCode>General</c:formatCode>
                <c:ptCount val="9"/>
                <c:pt idx="0">
                  <c:v>0</c:v>
                </c:pt>
                <c:pt idx="1">
                  <c:v>0</c:v>
                </c:pt>
                <c:pt idx="2">
                  <c:v>0</c:v>
                </c:pt>
                <c:pt idx="3">
                  <c:v>0</c:v>
                </c:pt>
                <c:pt idx="4">
                  <c:v>0</c:v>
                </c:pt>
                <c:pt idx="5">
                  <c:v>0</c:v>
                </c:pt>
                <c:pt idx="6">
                  <c:v>0</c:v>
                </c:pt>
                <c:pt idx="7">
                  <c:v>0</c:v>
                </c:pt>
                <c:pt idx="8">
                  <c:v>0</c:v>
                </c:pt>
              </c:numCache>
            </c:numRef>
          </c:cat>
          <c:val>
            <c:numRef>
              <c:f>'US Sources'!$I$52:$I$60</c:f>
              <c:numCache>
                <c:formatCode>0%</c:formatCode>
                <c:ptCount val="9"/>
                <c:pt idx="0">
                  <c:v>6.2141310097713398E-2</c:v>
                </c:pt>
                <c:pt idx="1">
                  <c:v>6.6471605534105499E-2</c:v>
                </c:pt>
                <c:pt idx="2">
                  <c:v>6.4224543339438597E-2</c:v>
                </c:pt>
                <c:pt idx="3">
                  <c:v>7.2301219684864207E-2</c:v>
                </c:pt>
                <c:pt idx="4">
                  <c:v>8.0602660546559596E-2</c:v>
                </c:pt>
                <c:pt idx="5">
                  <c:v>8.2425138025162603E-2</c:v>
                </c:pt>
                <c:pt idx="6">
                  <c:v>9.2381257293936606E-2</c:v>
                </c:pt>
                <c:pt idx="7">
                  <c:v>9.1705415682494601E-2</c:v>
                </c:pt>
                <c:pt idx="8">
                  <c:v>9.4168510988728193E-2</c:v>
                </c:pt>
              </c:numCache>
            </c:numRef>
          </c:val>
          <c:smooth val="0"/>
        </c:ser>
        <c:dLbls>
          <c:showLegendKey val="0"/>
          <c:showVal val="0"/>
          <c:showCatName val="0"/>
          <c:showSerName val="0"/>
          <c:showPercent val="0"/>
          <c:showBubbleSize val="0"/>
        </c:dLbls>
        <c:marker val="1"/>
        <c:smooth val="0"/>
        <c:axId val="206240384"/>
        <c:axId val="211267968"/>
      </c:lineChart>
      <c:catAx>
        <c:axId val="20624038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Helvetica Neue"/>
                <a:ea typeface="+mn-ea"/>
                <a:cs typeface="Helvetica Neue"/>
              </a:defRPr>
            </a:pPr>
            <a:endParaRPr lang="en-US"/>
          </a:p>
        </c:txPr>
        <c:crossAx val="211267968"/>
        <c:crosses val="autoZero"/>
        <c:auto val="1"/>
        <c:lblAlgn val="ctr"/>
        <c:lblOffset val="100"/>
        <c:noMultiLvlLbl val="0"/>
      </c:catAx>
      <c:valAx>
        <c:axId val="211267968"/>
        <c:scaling>
          <c:orientation val="minMax"/>
          <c:max val="0.25"/>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Helvetica Neue"/>
                <a:ea typeface="+mn-ea"/>
                <a:cs typeface="Helvetica Neue"/>
              </a:defRPr>
            </a:pPr>
            <a:endParaRPr lang="en-US"/>
          </a:p>
        </c:txPr>
        <c:crossAx val="206240384"/>
        <c:crosses val="autoZero"/>
        <c:crossBetween val="between"/>
      </c:valAx>
      <c:spPr>
        <a:noFill/>
        <a:ln>
          <a:noFill/>
        </a:ln>
        <a:effectLst/>
      </c:spPr>
    </c:plotArea>
    <c:legend>
      <c:legendPos val="t"/>
      <c:layout>
        <c:manualLayout>
          <c:xMode val="edge"/>
          <c:yMode val="edge"/>
          <c:x val="0.47292760279965002"/>
          <c:y val="0.131517310336208"/>
          <c:w val="0.52405201953922398"/>
          <c:h val="4.164213776052100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Helvetica Neue"/>
              <a:ea typeface="+mn-ea"/>
              <a:cs typeface="Helvetica Neue"/>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9355861767279E-2"/>
          <c:y val="0.15476190476190499"/>
          <c:w val="0.89360145086030895"/>
          <c:h val="0.69018497687789004"/>
        </c:manualLayout>
      </c:layout>
      <c:barChart>
        <c:barDir val="col"/>
        <c:grouping val="percentStacked"/>
        <c:varyColors val="0"/>
        <c:ser>
          <c:idx val="0"/>
          <c:order val="0"/>
          <c:tx>
            <c:strRef>
              <c:f>'Electricity Generation'!$P$6</c:f>
              <c:strCache>
                <c:ptCount val="1"/>
                <c:pt idx="0">
                  <c:v>Petroleum</c:v>
                </c:pt>
              </c:strCache>
            </c:strRef>
          </c:tx>
          <c:spPr>
            <a:solidFill>
              <a:srgbClr val="225860"/>
            </a:solidFill>
            <a:ln>
              <a:noFill/>
            </a:ln>
            <a:effectLst/>
          </c:spPr>
          <c:invertIfNegative val="0"/>
          <c:dLbls>
            <c:delete val="1"/>
          </c:dLbls>
          <c:cat>
            <c:numRef>
              <c:f>'Electricity Generation'!$A$52:$A$60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'Electricity Generation'!$P$52:$P$60</c:f>
              <c:numCache>
                <c:formatCode>0%</c:formatCode>
                <c:ptCount val="9"/>
                <c:pt idx="0">
                  <c:v>1.41476880607315E-2</c:v>
                </c:pt>
                <c:pt idx="1">
                  <c:v>9.2318411426580704E-3</c:v>
                </c:pt>
                <c:pt idx="2">
                  <c:v>7.9850492694529401E-3</c:v>
                </c:pt>
                <c:pt idx="3">
                  <c:v>4.4142614601018699E-3</c:v>
                </c:pt>
                <c:pt idx="4">
                  <c:v>1.2433392539964499E-3</c:v>
                </c:pt>
                <c:pt idx="5">
                  <c:v>7.0224719101123604E-4</c:v>
                </c:pt>
                <c:pt idx="6">
                  <c:v>5.3276505061267999E-4</c:v>
                </c:pt>
                <c:pt idx="7">
                  <c:v>5.5197792088316502E-4</c:v>
                </c:pt>
                <c:pt idx="8">
                  <c:v>7.45851202685064E-4</c:v>
                </c:pt>
              </c:numCache>
            </c:numRef>
          </c:val>
        </c:ser>
        <c:ser>
          <c:idx val="1"/>
          <c:order val="1"/>
          <c:tx>
            <c:strRef>
              <c:f>'Electricity Generation'!$Q$6</c:f>
              <c:strCache>
                <c:ptCount val="1"/>
                <c:pt idx="0">
                  <c:v>Coal</c:v>
                </c:pt>
              </c:strCache>
            </c:strRef>
          </c:tx>
          <c:spPr>
            <a:solidFill>
              <a:srgbClr val="33838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EBEBEB"/>
                    </a:solidFill>
                    <a:latin typeface="Helvetica Neue"/>
                    <a:ea typeface="+mn-ea"/>
                    <a:cs typeface="Helvetica Neue"/>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'Electricity Generation'!$A$52:$A$60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'Electricity Generation'!$Q$52:$Q$60</c:f>
              <c:numCache>
                <c:formatCode>0%</c:formatCode>
                <c:ptCount val="9"/>
                <c:pt idx="0">
                  <c:v>0.60904071773637003</c:v>
                </c:pt>
                <c:pt idx="1">
                  <c:v>0.60111478836439602</c:v>
                </c:pt>
                <c:pt idx="2">
                  <c:v>0.57628270472307197</c:v>
                </c:pt>
                <c:pt idx="3">
                  <c:v>0.56400679117147701</c:v>
                </c:pt>
                <c:pt idx="4">
                  <c:v>0.54227353463587902</c:v>
                </c:pt>
                <c:pt idx="5">
                  <c:v>0.50860252808988804</c:v>
                </c:pt>
                <c:pt idx="6">
                  <c:v>0.51536139229266598</c:v>
                </c:pt>
                <c:pt idx="7">
                  <c:v>0.43495860165593397</c:v>
                </c:pt>
                <c:pt idx="8">
                  <c:v>0.45403691963453302</c:v>
                </c:pt>
              </c:numCache>
            </c:numRef>
          </c:val>
        </c:ser>
        <c:ser>
          <c:idx val="2"/>
          <c:order val="2"/>
          <c:tx>
            <c:strRef>
              <c:f>'Electricity Generation'!$R$6</c:f>
              <c:strCache>
                <c:ptCount val="1"/>
                <c:pt idx="0">
                  <c:v>Natural Gas</c:v>
                </c:pt>
              </c:strCache>
            </c:strRef>
          </c:tx>
          <c:spPr>
            <a:solidFill>
              <a:srgbClr val="A1D8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Neue"/>
                    <a:ea typeface="+mn-ea"/>
                    <a:cs typeface="Helvetica Neue"/>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'Electricity Generation'!$A$52:$A$60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'Electricity Generation'!$R$52:$R$60</c:f>
              <c:numCache>
                <c:formatCode>0%</c:formatCode>
                <c:ptCount val="9"/>
                <c:pt idx="0">
                  <c:v>4.5376121463077998E-2</c:v>
                </c:pt>
                <c:pt idx="1">
                  <c:v>4.3720606166173098E-2</c:v>
                </c:pt>
                <c:pt idx="2">
                  <c:v>5.9633027522935797E-2</c:v>
                </c:pt>
                <c:pt idx="3">
                  <c:v>4.27843803056027E-2</c:v>
                </c:pt>
                <c:pt idx="4">
                  <c:v>4.2451154529307297E-2</c:v>
                </c:pt>
                <c:pt idx="5">
                  <c:v>6.3904494382022406E-2</c:v>
                </c:pt>
                <c:pt idx="6">
                  <c:v>5.0612679808204601E-2</c:v>
                </c:pt>
                <c:pt idx="7">
                  <c:v>0.107267709291628</c:v>
                </c:pt>
                <c:pt idx="8">
                  <c:v>9.4909565541674401E-2</c:v>
                </c:pt>
              </c:numCache>
            </c:numRef>
          </c:val>
        </c:ser>
        <c:ser>
          <c:idx val="3"/>
          <c:order val="3"/>
          <c:tx>
            <c:strRef>
              <c:f>'Electricity Generation'!$S$6</c:f>
              <c:strCache>
                <c:ptCount val="1"/>
                <c:pt idx="0">
                  <c:v>Nuclear</c:v>
                </c:pt>
              </c:strCache>
            </c:strRef>
          </c:tx>
          <c:spPr>
            <a:solidFill>
              <a:srgbClr val="2727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lumMod val="10000"/>
                        <a:lumOff val="90000"/>
                      </a:schemeClr>
                    </a:solidFill>
                    <a:latin typeface="Helvetica Neue"/>
                    <a:ea typeface="+mn-ea"/>
                    <a:cs typeface="Helvetica Neue"/>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'Electricity Generation'!$A$52:$A$60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'Electricity Generation'!$S$52:$S$60</c:f>
              <c:numCache>
                <c:formatCode>0%</c:formatCode>
                <c:ptCount val="9"/>
                <c:pt idx="0">
                  <c:v>0.23102139406487199</c:v>
                </c:pt>
                <c:pt idx="1">
                  <c:v>0.239679498345236</c:v>
                </c:pt>
                <c:pt idx="2">
                  <c:v>0.233435270132518</c:v>
                </c:pt>
                <c:pt idx="3">
                  <c:v>0.23056027164685899</c:v>
                </c:pt>
                <c:pt idx="4">
                  <c:v>0.230195381882771</c:v>
                </c:pt>
                <c:pt idx="5">
                  <c:v>0.24736657303370799</c:v>
                </c:pt>
                <c:pt idx="6">
                  <c:v>0.22216302610548699</c:v>
                </c:pt>
                <c:pt idx="7">
                  <c:v>0.23035878564857401</c:v>
                </c:pt>
                <c:pt idx="8">
                  <c:v>0.20865187395114701</c:v>
                </c:pt>
              </c:numCache>
            </c:numRef>
          </c:val>
        </c:ser>
        <c:ser>
          <c:idx val="4"/>
          <c:order val="4"/>
          <c:tx>
            <c:strRef>
              <c:f>'Electricity Generation'!$T$6</c:f>
              <c:strCache>
                <c:ptCount val="1"/>
                <c:pt idx="0">
                  <c:v>Renewables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EBEBEB"/>
                    </a:solidFill>
                    <a:latin typeface="Helvetica Neue"/>
                    <a:ea typeface="+mn-ea"/>
                    <a:cs typeface="Helvetica Neue"/>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'Electricity Generation'!$A$52:$A$60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'Electricity Generation'!$T$52:$T$60</c:f>
              <c:numCache>
                <c:formatCode>0%</c:formatCode>
                <c:ptCount val="9"/>
                <c:pt idx="0">
                  <c:v>5.4520358868184897E-2</c:v>
                </c:pt>
                <c:pt idx="1">
                  <c:v>5.92231318585612E-2</c:v>
                </c:pt>
                <c:pt idx="2">
                  <c:v>8.2908596670064505E-2</c:v>
                </c:pt>
                <c:pt idx="3">
                  <c:v>0.113073005093379</c:v>
                </c:pt>
                <c:pt idx="4">
                  <c:v>0.136412078152753</c:v>
                </c:pt>
                <c:pt idx="5">
                  <c:v>0.13676264044943801</c:v>
                </c:pt>
                <c:pt idx="6">
                  <c:v>0.16444681228911401</c:v>
                </c:pt>
                <c:pt idx="7">
                  <c:v>0.185832566697332</c:v>
                </c:pt>
                <c:pt idx="8">
                  <c:v>0.191124370688048</c:v>
                </c:pt>
              </c:numCache>
            </c:numRef>
          </c:val>
        </c:ser>
        <c:ser>
          <c:idx val="5"/>
          <c:order val="5"/>
          <c:tx>
            <c:strRef>
              <c:f>'Electricity Generation'!$U$6</c:f>
              <c:strCache>
                <c:ptCount val="1"/>
                <c:pt idx="0">
                  <c:v>Electricity Imports</c:v>
                </c:pt>
              </c:strCache>
            </c:strRef>
          </c:tx>
          <c:spPr>
            <a:solidFill>
              <a:srgbClr val="9E1F6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EBEBEB"/>
                    </a:solidFill>
                    <a:latin typeface="Helvetica Neue"/>
                    <a:ea typeface="+mn-ea"/>
                    <a:cs typeface="Helvetica Neue"/>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'Electricity Generation'!$A$52:$A$60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'Electricity Generation'!$U$52:$U$60</c:f>
              <c:numCache>
                <c:formatCode>0%</c:formatCode>
                <c:ptCount val="9"/>
                <c:pt idx="0">
                  <c:v>4.6066252587991699E-2</c:v>
                </c:pt>
                <c:pt idx="1">
                  <c:v>4.7030134122975097E-2</c:v>
                </c:pt>
                <c:pt idx="2">
                  <c:v>3.97553516819572E-2</c:v>
                </c:pt>
                <c:pt idx="3">
                  <c:v>4.4991511035653603E-2</c:v>
                </c:pt>
                <c:pt idx="4">
                  <c:v>4.7246891651864999E-2</c:v>
                </c:pt>
                <c:pt idx="5">
                  <c:v>4.2485955056179803E-2</c:v>
                </c:pt>
                <c:pt idx="6">
                  <c:v>4.67057361037116E-2</c:v>
                </c:pt>
                <c:pt idx="7">
                  <c:v>4.0846366145354203E-2</c:v>
                </c:pt>
                <c:pt idx="8">
                  <c:v>5.0158493380570601E-2</c:v>
                </c:pt>
              </c:numCache>
            </c:numRef>
          </c:val>
        </c:ser>
        <c:dLbls>
          <c:dLblPos val="ctr"/>
          <c:showLegendKey val="0"/>
          <c:showVal val="1"/>
          <c:showCatName val="0"/>
          <c:showSerName val="0"/>
          <c:showPercent val="0"/>
          <c:showBubbleSize val="0"/>
        </c:dLbls>
        <c:gapWidth val="50"/>
        <c:overlap val="100"/>
        <c:axId val="212466688"/>
        <c:axId val="212497152"/>
      </c:barChart>
      <c:catAx>
        <c:axId val="21246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Neue"/>
                <a:ea typeface="+mn-ea"/>
                <a:cs typeface="Helvetica Neue"/>
              </a:defRPr>
            </a:pPr>
            <a:endParaRPr lang="en-US"/>
          </a:p>
        </c:txPr>
        <c:crossAx val="212497152"/>
        <c:crosses val="autoZero"/>
        <c:auto val="1"/>
        <c:lblAlgn val="ctr"/>
        <c:lblOffset val="100"/>
        <c:noMultiLvlLbl val="0"/>
      </c:catAx>
      <c:valAx>
        <c:axId val="21249715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Neue"/>
                <a:ea typeface="+mn-ea"/>
                <a:cs typeface="Helvetica Neue"/>
              </a:defRPr>
            </a:pPr>
            <a:endParaRPr lang="en-US"/>
          </a:p>
        </c:txPr>
        <c:crossAx val="212466688"/>
        <c:crosses val="autoZero"/>
        <c:crossBetween val="between"/>
      </c:valAx>
      <c:spPr>
        <a:noFill/>
        <a:ln>
          <a:noFill/>
        </a:ln>
        <a:effectLst/>
      </c:spPr>
    </c:plotArea>
    <c:legend>
      <c:legendPos val="b"/>
      <c:layout>
        <c:manualLayout>
          <c:xMode val="edge"/>
          <c:yMode val="edge"/>
          <c:x val="0.118743073782444"/>
          <c:y val="0.92113048368953898"/>
          <c:w val="0.82650415770158403"/>
          <c:h val="6.69647544056992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Neue"/>
              <a:ea typeface="+mn-ea"/>
              <a:cs typeface="Helvetica Neue"/>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3">
                <a:lumMod val="60000"/>
                <a:lumOff val="40000"/>
              </a:schemeClr>
            </a:solidFill>
            <a:ln>
              <a:noFill/>
            </a:ln>
            <a:effectLst/>
          </c:spPr>
          <c:invertIfNegative val="0"/>
          <c:cat>
            <c:numRef>
              <c:f>'Total Energy'!$A$9:$A$62</c:f>
              <c:numCache>
                <c:formatCode>General</c:formatCode>
                <c:ptCount val="54"/>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numCache>
            </c:numRef>
          </c:cat>
          <c:val>
            <c:numRef>
              <c:f>'Total Energy'!$B$9:$B$62</c:f>
              <c:numCache>
                <c:formatCode>_(* #,##0_);_(* \(#,##0\);_(* "-"??_);_(@_)</c:formatCode>
                <c:ptCount val="54"/>
                <c:pt idx="0">
                  <c:v>723.3</c:v>
                </c:pt>
                <c:pt idx="1">
                  <c:v>728.5</c:v>
                </c:pt>
                <c:pt idx="2">
                  <c:v>766.9</c:v>
                </c:pt>
                <c:pt idx="3">
                  <c:v>775.9</c:v>
                </c:pt>
                <c:pt idx="4">
                  <c:v>816.3</c:v>
                </c:pt>
                <c:pt idx="5">
                  <c:v>865.6</c:v>
                </c:pt>
                <c:pt idx="6">
                  <c:v>922.5</c:v>
                </c:pt>
                <c:pt idx="7">
                  <c:v>929.4</c:v>
                </c:pt>
                <c:pt idx="8">
                  <c:v>991.5</c:v>
                </c:pt>
                <c:pt idx="9">
                  <c:v>1082</c:v>
                </c:pt>
                <c:pt idx="10">
                  <c:v>1108</c:v>
                </c:pt>
                <c:pt idx="11">
                  <c:v>1148.5999999999999</c:v>
                </c:pt>
                <c:pt idx="12">
                  <c:v>1209.9000000000001</c:v>
                </c:pt>
                <c:pt idx="13">
                  <c:v>1257.8</c:v>
                </c:pt>
                <c:pt idx="14">
                  <c:v>1237.7</c:v>
                </c:pt>
                <c:pt idx="15">
                  <c:v>1246.2</c:v>
                </c:pt>
                <c:pt idx="16">
                  <c:v>1293.8</c:v>
                </c:pt>
                <c:pt idx="17">
                  <c:v>1257.5</c:v>
                </c:pt>
                <c:pt idx="18">
                  <c:v>1350.8</c:v>
                </c:pt>
                <c:pt idx="19">
                  <c:v>1350.9</c:v>
                </c:pt>
                <c:pt idx="20">
                  <c:v>1224.7</c:v>
                </c:pt>
                <c:pt idx="21">
                  <c:v>1176.9000000000001</c:v>
                </c:pt>
                <c:pt idx="22">
                  <c:v>1187.8</c:v>
                </c:pt>
                <c:pt idx="23">
                  <c:v>1190.8</c:v>
                </c:pt>
                <c:pt idx="24">
                  <c:v>1252</c:v>
                </c:pt>
                <c:pt idx="25">
                  <c:v>1258.5</c:v>
                </c:pt>
                <c:pt idx="26">
                  <c:v>1246.2</c:v>
                </c:pt>
                <c:pt idx="27">
                  <c:v>1251.5999999999999</c:v>
                </c:pt>
                <c:pt idx="28">
                  <c:v>1355.4</c:v>
                </c:pt>
                <c:pt idx="29">
                  <c:v>1392.9</c:v>
                </c:pt>
                <c:pt idx="30">
                  <c:v>1401</c:v>
                </c:pt>
                <c:pt idx="31">
                  <c:v>1427.8</c:v>
                </c:pt>
                <c:pt idx="32">
                  <c:v>1441.5</c:v>
                </c:pt>
                <c:pt idx="33">
                  <c:v>1488.7</c:v>
                </c:pt>
                <c:pt idx="34">
                  <c:v>1525.3</c:v>
                </c:pt>
                <c:pt idx="35">
                  <c:v>1609.5</c:v>
                </c:pt>
                <c:pt idx="36">
                  <c:v>1680.2</c:v>
                </c:pt>
                <c:pt idx="37">
                  <c:v>1649.7</c:v>
                </c:pt>
                <c:pt idx="38">
                  <c:v>1626.6</c:v>
                </c:pt>
                <c:pt idx="39">
                  <c:v>1699.8</c:v>
                </c:pt>
                <c:pt idx="40">
                  <c:v>1750.8</c:v>
                </c:pt>
                <c:pt idx="41">
                  <c:v>1722.3</c:v>
                </c:pt>
                <c:pt idx="42">
                  <c:v>1786.8</c:v>
                </c:pt>
                <c:pt idx="43">
                  <c:v>1864.9</c:v>
                </c:pt>
                <c:pt idx="44">
                  <c:v>1865.1</c:v>
                </c:pt>
                <c:pt idx="45">
                  <c:v>1859.2</c:v>
                </c:pt>
                <c:pt idx="46">
                  <c:v>1832.7</c:v>
                </c:pt>
                <c:pt idx="47">
                  <c:v>1895.6</c:v>
                </c:pt>
                <c:pt idx="48">
                  <c:v>1912.9</c:v>
                </c:pt>
                <c:pt idx="49">
                  <c:v>1789</c:v>
                </c:pt>
                <c:pt idx="50">
                  <c:v>1857.8</c:v>
                </c:pt>
                <c:pt idx="51">
                  <c:v>1853.7</c:v>
                </c:pt>
                <c:pt idx="52">
                  <c:v>1817.6</c:v>
                </c:pt>
                <c:pt idx="53">
                  <c:v>1859.8</c:v>
                </c:pt>
              </c:numCache>
            </c:numRef>
          </c:val>
        </c:ser>
        <c:dLbls>
          <c:showLegendKey val="0"/>
          <c:showVal val="0"/>
          <c:showCatName val="0"/>
          <c:showSerName val="0"/>
          <c:showPercent val="0"/>
          <c:showBubbleSize val="0"/>
        </c:dLbls>
        <c:gapWidth val="50"/>
        <c:overlap val="-24"/>
        <c:axId val="213050112"/>
        <c:axId val="213051648"/>
        <c:extLs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extLst>
                      <c:ext uri="{02D57815-91ED-43cb-92C2-25804820EDAC}">
                        <c15:formulaRef>
                          <c15:sqref>'Total Energy'!$A$9:$A$62</c15:sqref>
                        </c15:formulaRef>
                      </c:ext>
                    </c:extLst>
                    <c:numCache>
                      <c:formatCode>General</c:formatCode>
                      <c:ptCount val="54"/>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numCache>
                  </c:numRef>
                </c:cat>
                <c:val>
                  <c:numRef>
                    <c:extLst>
                      <c:ext uri="{02D57815-91ED-43cb-92C2-25804820EDAC}">
                        <c15:formulaRef>
                          <c15:sqref>'Total Energy'!$A$9:$A$62</c15:sqref>
                        </c15:formulaRef>
                      </c:ext>
                    </c:extLst>
                    <c:numCache>
                      <c:formatCode>General</c:formatCode>
                      <c:ptCount val="54"/>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numCache>
                  </c:numRef>
                </c:val>
                <c:extLst/>
              </c15:ser>
            </c15:filteredBarSeries>
          </c:ext>
        </c:extLst>
      </c:barChart>
      <c:catAx>
        <c:axId val="2130501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Helvetica Neue"/>
                <a:ea typeface="+mn-ea"/>
                <a:cs typeface="Helvetica Neue"/>
              </a:defRPr>
            </a:pPr>
            <a:endParaRPr lang="en-US"/>
          </a:p>
        </c:txPr>
        <c:crossAx val="213051648"/>
        <c:crosses val="autoZero"/>
        <c:auto val="1"/>
        <c:lblAlgn val="ctr"/>
        <c:lblOffset val="100"/>
        <c:noMultiLvlLbl val="0"/>
      </c:catAx>
      <c:valAx>
        <c:axId val="213051648"/>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latin typeface="Helvetica Neue"/>
                    <a:cs typeface="Helvetica Neue"/>
                  </a:rPr>
                  <a:t>trillion Btu</a:t>
                </a:r>
              </a:p>
            </c:rich>
          </c:tx>
          <c:layout>
            <c:manualLayout>
              <c:xMode val="edge"/>
              <c:yMode val="edge"/>
              <c:x val="2.2222222222222199E-2"/>
              <c:y val="0.13873703287089101"/>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Helvetica Neue"/>
                <a:ea typeface="+mn-ea"/>
                <a:cs typeface="Helvetica Neue"/>
              </a:defRPr>
            </a:pPr>
            <a:endParaRPr lang="en-US"/>
          </a:p>
        </c:txPr>
        <c:crossAx val="213050112"/>
        <c:crosses val="autoZero"/>
        <c:crossBetween val="between"/>
      </c:valAx>
      <c:spPr>
        <a:noFill/>
        <a:ln>
          <a:noFill/>
        </a:ln>
        <a:effectLst/>
      </c:spPr>
    </c:plotArea>
    <c:plotVisOnly val="1"/>
    <c:dispBlanksAs val="gap"/>
    <c:showDLblsOverMax val="0"/>
  </c:chart>
  <c:spPr>
    <a:no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592592592593E-2"/>
          <c:y val="0.14409722222222199"/>
          <c:w val="0.85416666666666596"/>
          <c:h val="0.80078125"/>
        </c:manualLayout>
      </c:layout>
      <c:pieChart>
        <c:varyColors val="1"/>
        <c:ser>
          <c:idx val="0"/>
          <c:order val="0"/>
          <c:tx>
            <c:v>Energy Sector</c:v>
          </c:tx>
          <c:spPr>
            <a:ln>
              <a:solidFill>
                <a:schemeClr val="bg1">
                  <a:lumMod val="10000"/>
                  <a:lumOff val="90000"/>
                </a:schemeClr>
              </a:solidFill>
            </a:ln>
          </c:spPr>
          <c:dPt>
            <c:idx val="0"/>
            <c:bubble3D val="0"/>
            <c:spPr>
              <a:solidFill>
                <a:srgbClr val="F4DE3A"/>
              </a:solidFill>
              <a:ln w="19050">
                <a:solidFill>
                  <a:schemeClr val="bg1">
                    <a:lumMod val="10000"/>
                    <a:lumOff val="90000"/>
                  </a:schemeClr>
                </a:solidFill>
              </a:ln>
              <a:effectLst/>
            </c:spPr>
          </c:dPt>
          <c:dPt>
            <c:idx val="1"/>
            <c:bubble3D val="0"/>
            <c:spPr>
              <a:solidFill>
                <a:srgbClr val="A2D049"/>
              </a:solidFill>
              <a:ln w="19050">
                <a:solidFill>
                  <a:schemeClr val="bg1">
                    <a:lumMod val="10000"/>
                    <a:lumOff val="90000"/>
                  </a:schemeClr>
                </a:solidFill>
              </a:ln>
              <a:effectLst/>
            </c:spPr>
          </c:dPt>
          <c:dPt>
            <c:idx val="2"/>
            <c:bubble3D val="0"/>
            <c:spPr>
              <a:solidFill>
                <a:srgbClr val="5F8E3C"/>
              </a:solidFill>
              <a:ln w="19050">
                <a:solidFill>
                  <a:schemeClr val="bg1">
                    <a:lumMod val="10000"/>
                    <a:lumOff val="90000"/>
                  </a:schemeClr>
                </a:solidFill>
              </a:ln>
              <a:effectLst/>
            </c:spPr>
          </c:dPt>
          <c:dPt>
            <c:idx val="3"/>
            <c:bubble3D val="0"/>
            <c:spPr>
              <a:solidFill>
                <a:srgbClr val="42ADBB"/>
              </a:solidFill>
              <a:ln w="19050">
                <a:solidFill>
                  <a:schemeClr val="bg1">
                    <a:lumMod val="10000"/>
                    <a:lumOff val="90000"/>
                  </a:schemeClr>
                </a:solidFill>
              </a:ln>
              <a:effectLst/>
            </c:spPr>
          </c:dPt>
          <c:dLbls>
            <c:dLbl>
              <c:idx val="0"/>
              <c:layout>
                <c:manualLayout>
                  <c:x val="-0.189419473607466"/>
                  <c:y val="0.17909711969597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201224846894138"/>
                  <c:y val="-0.11301365649606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73144320501604"/>
                  <c:y val="-0.21424482584208199"/>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214642206182561"/>
                  <c:y val="0.18026848206474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Helvetica Neue"/>
                    <a:ea typeface="+mn-ea"/>
                    <a:cs typeface="Helvetica Neue"/>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'Energy by Sector'!$B$7:$E$7</c:f>
              <c:strCache>
                <c:ptCount val="4"/>
                <c:pt idx="0">
                  <c:v>Residential</c:v>
                </c:pt>
                <c:pt idx="1">
                  <c:v>Commercial</c:v>
                </c:pt>
                <c:pt idx="2">
                  <c:v>Industrial</c:v>
                </c:pt>
                <c:pt idx="3">
                  <c:v>Transportation</c:v>
                </c:pt>
              </c:strCache>
            </c:strRef>
          </c:cat>
          <c:val>
            <c:numRef>
              <c:f>'Energy by Sector'!$B$61:$E$61</c:f>
              <c:numCache>
                <c:formatCode>General</c:formatCode>
                <c:ptCount val="4"/>
                <c:pt idx="0">
                  <c:v>417.3</c:v>
                </c:pt>
                <c:pt idx="1">
                  <c:v>358</c:v>
                </c:pt>
                <c:pt idx="2">
                  <c:v>636.29999999999995</c:v>
                </c:pt>
                <c:pt idx="3">
                  <c:v>448.1</c:v>
                </c:pt>
              </c:numCache>
            </c:numRef>
          </c:val>
        </c:ser>
        <c:dLbls>
          <c:dLblPos val="ctr"/>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781787693205003E-2"/>
          <c:y val="0.19875296837895301"/>
          <c:w val="0.89175524934383199"/>
          <c:h val="0.71518403949506304"/>
        </c:manualLayout>
      </c:layout>
      <c:barChart>
        <c:barDir val="col"/>
        <c:grouping val="clustered"/>
        <c:varyColors val="0"/>
        <c:ser>
          <c:idx val="0"/>
          <c:order val="0"/>
          <c:tx>
            <c:v>Minnesota</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numRef>
              <c:f>'Energy by Source'!$A$52:$A$60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'Energy by Source'!$AV$52:$AV$60</c:f>
              <c:numCache>
                <c:formatCode>_(* #,##0_);_(* \(#,##0\);_(* "-"??_);_(@_)</c:formatCode>
                <c:ptCount val="9"/>
                <c:pt idx="0">
                  <c:v>287.53919010157563</c:v>
                </c:pt>
                <c:pt idx="1">
                  <c:v>277.31517088326331</c:v>
                </c:pt>
                <c:pt idx="2">
                  <c:v>281.72133827695041</c:v>
                </c:pt>
                <c:pt idx="3">
                  <c:v>278.81953421625218</c:v>
                </c:pt>
                <c:pt idx="4">
                  <c:v>255.76110629833329</c:v>
                </c:pt>
                <c:pt idx="5">
                  <c:v>255.00198398404581</c:v>
                </c:pt>
                <c:pt idx="6">
                  <c:v>252.29100263708861</c:v>
                </c:pt>
                <c:pt idx="7">
                  <c:v>241.46875067085111</c:v>
                </c:pt>
                <c:pt idx="8">
                  <c:v>248.67072697341609</c:v>
                </c:pt>
              </c:numCache>
            </c:numRef>
          </c:val>
        </c:ser>
        <c:dLbls>
          <c:showLegendKey val="0"/>
          <c:showVal val="0"/>
          <c:showCatName val="0"/>
          <c:showSerName val="0"/>
          <c:showPercent val="0"/>
          <c:showBubbleSize val="0"/>
        </c:dLbls>
        <c:gapWidth val="50"/>
        <c:overlap val="-24"/>
        <c:axId val="227433088"/>
        <c:axId val="227467648"/>
      </c:barChart>
      <c:lineChart>
        <c:grouping val="standard"/>
        <c:varyColors val="0"/>
        <c:ser>
          <c:idx val="1"/>
          <c:order val="1"/>
          <c:tx>
            <c:v>United States</c:v>
          </c:tx>
          <c:spPr>
            <a:ln w="31750" cap="rnd">
              <a:solidFill>
                <a:srgbClr val="455F51"/>
              </a:solidFill>
              <a:round/>
            </a:ln>
            <a:effectLst/>
          </c:spPr>
          <c:marker>
            <c:symbol val="none"/>
          </c:marker>
          <c:cat>
            <c:numRef>
              <c:f>[3]Sheet6!$A$47:$A$55</c:f>
              <c:numCache>
                <c:formatCode>General</c:formatCode>
                <c:ptCount val="9"/>
                <c:pt idx="0">
                  <c:v>0</c:v>
                </c:pt>
                <c:pt idx="1">
                  <c:v>0</c:v>
                </c:pt>
                <c:pt idx="2">
                  <c:v>0</c:v>
                </c:pt>
                <c:pt idx="3">
                  <c:v>0</c:v>
                </c:pt>
                <c:pt idx="4">
                  <c:v>0</c:v>
                </c:pt>
                <c:pt idx="5">
                  <c:v>0</c:v>
                </c:pt>
                <c:pt idx="6">
                  <c:v>0</c:v>
                </c:pt>
                <c:pt idx="7">
                  <c:v>0</c:v>
                </c:pt>
                <c:pt idx="8">
                  <c:v>0</c:v>
                </c:pt>
              </c:numCache>
            </c:numRef>
          </c:cat>
          <c:val>
            <c:numRef>
              <c:f>'US Sources'!$H$52:$H$60</c:f>
              <c:numCache>
                <c:formatCode>0</c:formatCode>
                <c:ptCount val="9"/>
                <c:pt idx="0">
                  <c:v>290.08460236886629</c:v>
                </c:pt>
                <c:pt idx="1">
                  <c:v>292.21838286109192</c:v>
                </c:pt>
                <c:pt idx="2">
                  <c:v>285.36852589641433</c:v>
                </c:pt>
                <c:pt idx="3">
                  <c:v>273.56461690233482</c:v>
                </c:pt>
                <c:pt idx="4">
                  <c:v>254.426336375489</c:v>
                </c:pt>
                <c:pt idx="5">
                  <c:v>261.52925961849343</c:v>
                </c:pt>
                <c:pt idx="6">
                  <c:v>255.01122874558871</c:v>
                </c:pt>
                <c:pt idx="7">
                  <c:v>246.8354027379815</c:v>
                </c:pt>
                <c:pt idx="8">
                  <c:v>251.3459715639811</c:v>
                </c:pt>
              </c:numCache>
            </c:numRef>
          </c:val>
          <c:smooth val="0"/>
        </c:ser>
        <c:dLbls>
          <c:showLegendKey val="0"/>
          <c:showVal val="0"/>
          <c:showCatName val="0"/>
          <c:showSerName val="0"/>
          <c:showPercent val="0"/>
          <c:showBubbleSize val="0"/>
        </c:dLbls>
        <c:marker val="1"/>
        <c:smooth val="0"/>
        <c:axId val="227433088"/>
        <c:axId val="227467648"/>
      </c:lineChart>
      <c:catAx>
        <c:axId val="2274330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Helvetica Neue"/>
                <a:ea typeface="+mn-ea"/>
                <a:cs typeface="Helvetica Neue"/>
              </a:defRPr>
            </a:pPr>
            <a:endParaRPr lang="en-US"/>
          </a:p>
        </c:txPr>
        <c:crossAx val="227467648"/>
        <c:crosses val="autoZero"/>
        <c:auto val="1"/>
        <c:lblAlgn val="ctr"/>
        <c:lblOffset val="100"/>
        <c:noMultiLvlLbl val="0"/>
      </c:catAx>
      <c:valAx>
        <c:axId val="227467648"/>
        <c:scaling>
          <c:orientation val="minMax"/>
          <c:min val="0"/>
        </c:scaling>
        <c:delete val="0"/>
        <c:axPos val="l"/>
        <c:title>
          <c:tx>
            <c:rich>
              <a:bodyPr rot="0" spcFirstLastPara="1" vertOverflow="ellipsis" wrap="square" anchor="ctr" anchorCtr="0"/>
              <a:lstStyle/>
              <a:p>
                <a:pPr>
                  <a:defRPr sz="1100" b="0" i="0" u="none" strike="noStrike" kern="1200" baseline="0">
                    <a:solidFill>
                      <a:schemeClr val="tx2"/>
                    </a:solidFill>
                    <a:latin typeface="Helvetica Neue"/>
                    <a:ea typeface="+mn-ea"/>
                    <a:cs typeface="Helvetica Neue"/>
                  </a:defRPr>
                </a:pPr>
                <a:r>
                  <a:rPr lang="en-US" sz="1100" b="0" dirty="0" err="1" smtClean="0">
                    <a:latin typeface="Helvetica Neue"/>
                    <a:cs typeface="Helvetica Neue"/>
                  </a:rPr>
                  <a:t>MMBtu</a:t>
                </a:r>
                <a:r>
                  <a:rPr lang="en-US" sz="1100" b="0" dirty="0" smtClean="0">
                    <a:latin typeface="Helvetica Neue"/>
                    <a:cs typeface="Helvetica Neue"/>
                  </a:rPr>
                  <a:t>/person</a:t>
                </a:r>
                <a:endParaRPr lang="en-US" sz="1100" b="0" dirty="0">
                  <a:latin typeface="Helvetica Neue"/>
                  <a:cs typeface="Helvetica Neue"/>
                </a:endParaRPr>
              </a:p>
            </c:rich>
          </c:tx>
          <c:layout>
            <c:manualLayout>
              <c:xMode val="edge"/>
              <c:yMode val="edge"/>
              <c:x val="2.5462962962963E-2"/>
              <c:y val="9.4978859967337001E-2"/>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Helvetica Neue"/>
                <a:ea typeface="+mn-ea"/>
                <a:cs typeface="Helvetica Neue"/>
              </a:defRPr>
            </a:pPr>
            <a:endParaRPr lang="en-US"/>
          </a:p>
        </c:txPr>
        <c:crossAx val="227433088"/>
        <c:crosses val="autoZero"/>
        <c:crossBetween val="between"/>
      </c:valAx>
      <c:spPr>
        <a:noFill/>
        <a:ln>
          <a:noFill/>
        </a:ln>
        <a:effectLst/>
      </c:spPr>
    </c:plotArea>
    <c:legend>
      <c:legendPos val="t"/>
      <c:layout>
        <c:manualLayout>
          <c:xMode val="edge"/>
          <c:yMode val="edge"/>
          <c:x val="0.48725211431904297"/>
          <c:y val="0.12504686914135699"/>
          <c:w val="0.51274790255635705"/>
          <c:h val="4.141625148873769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Helvetica Neue"/>
              <a:ea typeface="+mn-ea"/>
              <a:cs typeface="Helvetica Neue"/>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592592592593E-2"/>
          <c:y val="0.14409722222222199"/>
          <c:w val="0.85416666666666596"/>
          <c:h val="0.80078125"/>
        </c:manualLayout>
      </c:layout>
      <c:pieChart>
        <c:varyColors val="1"/>
        <c:ser>
          <c:idx val="0"/>
          <c:order val="0"/>
          <c:tx>
            <c:v>Energy Sector</c:v>
          </c:tx>
          <c:spPr>
            <a:ln>
              <a:solidFill>
                <a:schemeClr val="bg1">
                  <a:lumMod val="10000"/>
                  <a:lumOff val="90000"/>
                </a:schemeClr>
              </a:solidFill>
            </a:ln>
          </c:spPr>
          <c:dPt>
            <c:idx val="0"/>
            <c:bubble3D val="0"/>
            <c:spPr>
              <a:solidFill>
                <a:srgbClr val="F4DE3A"/>
              </a:solidFill>
              <a:ln w="19050">
                <a:solidFill>
                  <a:schemeClr val="bg1">
                    <a:lumMod val="10000"/>
                    <a:lumOff val="90000"/>
                  </a:schemeClr>
                </a:solidFill>
              </a:ln>
              <a:effectLst/>
            </c:spPr>
          </c:dPt>
          <c:dPt>
            <c:idx val="1"/>
            <c:bubble3D val="0"/>
            <c:spPr>
              <a:solidFill>
                <a:srgbClr val="A2D049"/>
              </a:solidFill>
              <a:ln w="19050">
                <a:solidFill>
                  <a:schemeClr val="bg1">
                    <a:lumMod val="10000"/>
                    <a:lumOff val="90000"/>
                  </a:schemeClr>
                </a:solidFill>
              </a:ln>
              <a:effectLst/>
            </c:spPr>
          </c:dPt>
          <c:dPt>
            <c:idx val="2"/>
            <c:bubble3D val="0"/>
            <c:spPr>
              <a:solidFill>
                <a:srgbClr val="5F8E3C"/>
              </a:solidFill>
              <a:ln w="19050">
                <a:solidFill>
                  <a:schemeClr val="bg1">
                    <a:lumMod val="10000"/>
                    <a:lumOff val="90000"/>
                  </a:schemeClr>
                </a:solidFill>
              </a:ln>
              <a:effectLst/>
            </c:spPr>
          </c:dPt>
          <c:dPt>
            <c:idx val="3"/>
            <c:bubble3D val="0"/>
            <c:spPr>
              <a:solidFill>
                <a:srgbClr val="42ADBB"/>
              </a:solidFill>
              <a:ln w="19050">
                <a:solidFill>
                  <a:schemeClr val="bg1">
                    <a:lumMod val="10000"/>
                    <a:lumOff val="90000"/>
                  </a:schemeClr>
                </a:solidFill>
              </a:ln>
              <a:effectLst/>
            </c:spPr>
          </c:dPt>
          <c:dLbls>
            <c:dLbl>
              <c:idx val="0"/>
              <c:layout>
                <c:manualLayout>
                  <c:x val="-0.189419473607466"/>
                  <c:y val="0.179097119695976"/>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201224846894138"/>
                  <c:y val="-0.11301365649606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73144320501604"/>
                  <c:y val="-0.21424482584208199"/>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214642206182561"/>
                  <c:y val="0.18026848206474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Helvetica Neue"/>
                    <a:ea typeface="+mn-ea"/>
                    <a:cs typeface="Helvetica Neue"/>
                  </a:defRPr>
                </a:pPr>
                <a:endParaRPr lang="en-US"/>
              </a:p>
            </c:txPr>
            <c:dLblPos val="ctr"/>
            <c:showLegendKey val="0"/>
            <c:showVal val="0"/>
            <c:showCatName val="1"/>
            <c:showSerName val="0"/>
            <c:showPercent val="1"/>
            <c:showBubbleSize val="0"/>
            <c:showLeaderLines val="0"/>
            <c:extLst>
              <c:ext xmlns:c15="http://schemas.microsoft.com/office/drawing/2012/chart" uri="{CE6537A1-D6FC-4f65-9D91-7224C49458BB}"/>
            </c:extLst>
          </c:dLbls>
          <c:cat>
            <c:strRef>
              <c:f>'[2025 MEP Baseline Metrics_04-20-2016_CM.xlsx]Energy by Sector'!$B$7:$E$7</c:f>
              <c:strCache>
                <c:ptCount val="4"/>
                <c:pt idx="0">
                  <c:v>Residential</c:v>
                </c:pt>
                <c:pt idx="1">
                  <c:v>Commercial</c:v>
                </c:pt>
                <c:pt idx="2">
                  <c:v>Industrial</c:v>
                </c:pt>
                <c:pt idx="3">
                  <c:v>Transportation</c:v>
                </c:pt>
              </c:strCache>
            </c:strRef>
          </c:cat>
          <c:val>
            <c:numRef>
              <c:f>'[2025 MEP Baseline Metrics_04-20-2016_CM.xlsx]Energy by Sector'!$B$61:$E$61</c:f>
              <c:numCache>
                <c:formatCode>General</c:formatCode>
                <c:ptCount val="4"/>
                <c:pt idx="0">
                  <c:v>417.3</c:v>
                </c:pt>
                <c:pt idx="1">
                  <c:v>358</c:v>
                </c:pt>
                <c:pt idx="2">
                  <c:v>636.29999999999995</c:v>
                </c:pt>
                <c:pt idx="3">
                  <c:v>448.1</c:v>
                </c:pt>
              </c:numCache>
            </c:numRef>
          </c:val>
        </c:ser>
        <c:dLbls>
          <c:dLblPos val="ctr"/>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RMI Base Colors">
  <a:themeElements>
    <a:clrScheme name="RMI Base Colors">
      <a:dk1>
        <a:srgbClr val="191919"/>
      </a:dk1>
      <a:lt1>
        <a:srgbClr val="333333"/>
      </a:lt1>
      <a:dk2>
        <a:srgbClr val="4C4C4C"/>
      </a:dk2>
      <a:lt2>
        <a:srgbClr val="808080"/>
      </a:lt2>
      <a:accent1>
        <a:srgbClr val="004B6B"/>
      </a:accent1>
      <a:accent2>
        <a:srgbClr val="515453"/>
      </a:accent2>
      <a:accent3>
        <a:srgbClr val="5CAC34"/>
      </a:accent3>
      <a:accent4>
        <a:srgbClr val="3E6488"/>
      </a:accent4>
      <a:accent5>
        <a:srgbClr val="CD0920"/>
      </a:accent5>
      <a:accent6>
        <a:srgbClr val="E69424"/>
      </a:accent6>
      <a:hlink>
        <a:srgbClr val="262726"/>
      </a:hlink>
      <a:folHlink>
        <a:srgbClr val="262726"/>
      </a:folHlink>
    </a:clrScheme>
    <a:fontScheme name="Office 2">
      <a:majorFont>
        <a:latin typeface="Helvetica Neue"/>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6B9BD91-18BD-41AA-9EDE-4CFA1ABC6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168</Pages>
  <Words>43568</Words>
  <Characters>248342</Characters>
  <Application>Microsoft Office Word</Application>
  <DocSecurity>0</DocSecurity>
  <Lines>2069</Lines>
  <Paragraphs>582</Paragraphs>
  <ScaleCrop>false</ScaleCrop>
  <HeadingPairs>
    <vt:vector size="2" baseType="variant">
      <vt:variant>
        <vt:lpstr>Title</vt:lpstr>
      </vt:variant>
      <vt:variant>
        <vt:i4>1</vt:i4>
      </vt:variant>
    </vt:vector>
  </HeadingPairs>
  <TitlesOfParts>
    <vt:vector size="1" baseType="lpstr">
      <vt:lpstr>Minnesota 2025 Energy Action Plan</vt:lpstr>
    </vt:vector>
  </TitlesOfParts>
  <Company>Rocky Mountain Institute</Company>
  <LinksUpToDate>false</LinksUpToDate>
  <CharactersWithSpaces>291328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Minnesota 2025 Energy Action Plan</dc:title>
  <dc:creator>Mark Dyson</dc:creator>
  <cp:lastModifiedBy>Lise Trudeau</cp:lastModifiedBy>
  <cp:revision>6</cp:revision>
  <cp:lastPrinted>2016-04-22T22:36:00Z</cp:lastPrinted>
  <dcterms:created xsi:type="dcterms:W3CDTF">2016-04-25T13:51:00Z</dcterms:created>
  <dcterms:modified xsi:type="dcterms:W3CDTF">2016-04-25T13:56:00Z</dcterms:modified>
</cp:coreProperties>
</file>